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74" w:lineRule="auto"/>
        <w:ind w:left="37" w:right="216" w:hanging="2"/>
        <w:rPr>
          <w:rFonts w:ascii="黑体" w:hAnsi="黑体" w:eastAsia="黑体" w:cs="黑体"/>
          <w:sz w:val="21"/>
          <w:szCs w:val="21"/>
        </w:rPr>
      </w:pPr>
      <w:r>
        <w:drawing>
          <wp:anchor distT="0" distB="0" distL="0" distR="0" simplePos="0" relativeHeight="251660288" behindDoc="0" locked="0" layoutInCell="0" allowOverlap="1">
            <wp:simplePos x="0" y="0"/>
            <wp:positionH relativeFrom="page">
              <wp:posOffset>895350</wp:posOffset>
            </wp:positionH>
            <wp:positionV relativeFrom="page">
              <wp:posOffset>2695575</wp:posOffset>
            </wp:positionV>
            <wp:extent cx="6129655" cy="952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6129654" cy="952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894715</wp:posOffset>
            </wp:positionH>
            <wp:positionV relativeFrom="page">
              <wp:posOffset>9248140</wp:posOffset>
            </wp:positionV>
            <wp:extent cx="6129655"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6129654" cy="9525"/>
                    </a:xfrm>
                    <a:prstGeom prst="rect">
                      <a:avLst/>
                    </a:prstGeom>
                  </pic:spPr>
                </pic:pic>
              </a:graphicData>
            </a:graphic>
          </wp:anchor>
        </w:drawing>
      </w:r>
      <w:r>
        <w:rPr>
          <w:rFonts w:ascii="Times New Roman" w:hAnsi="Times New Roman" w:eastAsia="Times New Roman" w:cs="Times New Roman"/>
          <w:spacing w:val="-1"/>
          <w:position w:val="1"/>
          <w:sz w:val="21"/>
          <w:szCs w:val="21"/>
        </w:rPr>
        <w:t>ICS</w:t>
      </w:r>
      <w:r>
        <w:rPr>
          <w:rFonts w:ascii="Times New Roman" w:hAnsi="Times New Roman" w:eastAsia="Times New Roman" w:cs="Times New Roman"/>
          <w:spacing w:val="11"/>
          <w:position w:val="1"/>
          <w:sz w:val="21"/>
          <w:szCs w:val="21"/>
        </w:rPr>
        <w:t xml:space="preserve">   </w:t>
      </w:r>
      <w:r>
        <w:rPr>
          <w:rFonts w:ascii="黑体" w:hAnsi="黑体" w:eastAsia="黑体" w:cs="黑体"/>
          <w:spacing w:val="-1"/>
          <w:sz w:val="21"/>
          <w:szCs w:val="21"/>
        </w:rPr>
        <w:t>91.140.60</w:t>
      </w:r>
      <w:r>
        <w:rPr>
          <w:rFonts w:ascii="黑体" w:hAnsi="黑体" w:eastAsia="黑体" w:cs="黑体"/>
          <w:spacing w:val="1"/>
          <w:sz w:val="21"/>
          <w:szCs w:val="21"/>
        </w:rPr>
        <w:t xml:space="preserve"> </w:t>
      </w:r>
      <w:r>
        <w:rPr>
          <w:rFonts w:ascii="Times New Roman" w:hAnsi="Times New Roman" w:eastAsia="Times New Roman" w:cs="Times New Roman"/>
          <w:spacing w:val="-3"/>
          <w:position w:val="1"/>
          <w:sz w:val="21"/>
          <w:szCs w:val="21"/>
        </w:rPr>
        <w:t>CCS</w:t>
      </w:r>
      <w:r>
        <w:rPr>
          <w:rFonts w:ascii="Times New Roman" w:hAnsi="Times New Roman" w:eastAsia="Times New Roman" w:cs="Times New Roman"/>
          <w:spacing w:val="9"/>
          <w:w w:val="101"/>
          <w:position w:val="1"/>
          <w:sz w:val="21"/>
          <w:szCs w:val="21"/>
        </w:rPr>
        <w:t xml:space="preserve">  </w:t>
      </w:r>
      <w:r>
        <w:rPr>
          <w:rFonts w:ascii="黑体" w:hAnsi="黑体" w:eastAsia="黑体" w:cs="黑体"/>
          <w:spacing w:val="-3"/>
          <w:position w:val="-1"/>
          <w:sz w:val="21"/>
          <w:szCs w:val="21"/>
        </w:rPr>
        <w:t>P42</w:t>
      </w:r>
    </w:p>
    <w:p>
      <w:pPr>
        <w:spacing w:line="275" w:lineRule="auto"/>
        <w:rPr>
          <w:rFonts w:ascii="宋体"/>
          <w:sz w:val="21"/>
        </w:rPr>
      </w:pPr>
    </w:p>
    <w:p>
      <w:pPr>
        <w:spacing w:line="275" w:lineRule="auto"/>
        <w:rPr>
          <w:rFonts w:ascii="宋体"/>
          <w:sz w:val="21"/>
        </w:rPr>
      </w:pPr>
    </w:p>
    <w:p>
      <w:pPr>
        <w:spacing w:line="276" w:lineRule="auto"/>
        <w:rPr>
          <w:rFonts w:ascii="宋体"/>
          <w:sz w:val="21"/>
        </w:rPr>
      </w:pPr>
    </w:p>
    <w:p>
      <w:pPr>
        <w:spacing w:before="156" w:line="185" w:lineRule="auto"/>
        <w:rPr>
          <w:rFonts w:ascii="黑体" w:hAnsi="黑体" w:eastAsia="黑体" w:cs="黑体"/>
          <w:sz w:val="48"/>
          <w:szCs w:val="48"/>
        </w:rPr>
      </w:pPr>
      <w:r>
        <w:rPr>
          <w:rFonts w:ascii="黑体" w:hAnsi="黑体" w:eastAsia="黑体" w:cs="黑体"/>
          <w:spacing w:val="-19"/>
          <w:sz w:val="48"/>
          <w:szCs w:val="48"/>
        </w:rPr>
        <w:t>安</w:t>
      </w:r>
      <w:r>
        <w:rPr>
          <w:rFonts w:ascii="黑体" w:hAnsi="黑体" w:eastAsia="黑体" w:cs="黑体"/>
          <w:spacing w:val="38"/>
          <w:sz w:val="48"/>
          <w:szCs w:val="48"/>
        </w:rPr>
        <w:t xml:space="preserve">  </w:t>
      </w:r>
      <w:r>
        <w:rPr>
          <w:rFonts w:ascii="黑体" w:hAnsi="黑体" w:eastAsia="黑体" w:cs="黑体"/>
          <w:spacing w:val="-19"/>
          <w:sz w:val="48"/>
          <w:szCs w:val="48"/>
        </w:rPr>
        <w:t>徽</w:t>
      </w:r>
    </w:p>
    <w:p/>
    <w:p/>
    <w:p/>
    <w:p>
      <w:pPr>
        <w:spacing w:line="36" w:lineRule="auto"/>
        <w:rPr>
          <w:rFonts w:ascii="Arial"/>
          <w:sz w:val="2"/>
        </w:rPr>
      </w:pPr>
    </w:p>
    <w:p>
      <w:pPr>
        <w:spacing w:line="14" w:lineRule="auto"/>
        <w:rPr>
          <w:rFonts w:ascii="宋体"/>
          <w:sz w:val="2"/>
        </w:rPr>
      </w:pPr>
      <w:r>
        <w:rPr>
          <w:rFonts w:ascii="宋体" w:hAnsi="宋体" w:eastAsia="宋体" w:cs="宋体"/>
          <w:sz w:val="2"/>
          <w:szCs w:val="2"/>
        </w:rPr>
        <w:br w:type="column"/>
      </w:r>
    </w:p>
    <w:p>
      <w:pPr>
        <w:spacing w:line="353" w:lineRule="auto"/>
        <w:rPr>
          <w:rFonts w:ascii="宋体"/>
          <w:sz w:val="21"/>
        </w:rPr>
      </w:pPr>
    </w:p>
    <w:p>
      <w:pPr>
        <w:spacing w:before="276" w:line="180" w:lineRule="auto"/>
        <w:ind w:firstLine="3277"/>
        <w:rPr>
          <w:rFonts w:hint="eastAsia" w:ascii="Times New Roman" w:hAnsi="Times New Roman" w:eastAsia="宋体" w:cs="Times New Roman"/>
          <w:sz w:val="96"/>
          <w:szCs w:val="96"/>
          <w:lang w:eastAsia="zh-CN"/>
        </w:rPr>
      </w:pPr>
      <w:r>
        <w:drawing>
          <wp:inline distT="0" distB="0" distL="0" distR="0">
            <wp:extent cx="795655" cy="39687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2"/>
                    <a:stretch>
                      <a:fillRect/>
                    </a:stretch>
                  </pic:blipFill>
                  <pic:spPr>
                    <a:xfrm>
                      <a:off x="0" y="0"/>
                      <a:ext cx="796213" cy="397509"/>
                    </a:xfrm>
                    <a:prstGeom prst="rect">
                      <a:avLst/>
                    </a:prstGeom>
                  </pic:spPr>
                </pic:pic>
              </a:graphicData>
            </a:graphic>
          </wp:inline>
        </w:drawing>
      </w:r>
      <w:r>
        <w:rPr>
          <w:rFonts w:ascii="Times New Roman" w:hAnsi="Times New Roman" w:eastAsia="Times New Roman" w:cs="Times New Roman"/>
          <w:b/>
          <w:bCs/>
          <w:spacing w:val="49"/>
          <w:w w:val="120"/>
          <w:sz w:val="96"/>
          <w:szCs w:val="96"/>
        </w:rPr>
        <w:t>34</w:t>
      </w:r>
      <w:r>
        <w:rPr>
          <w:rFonts w:hint="eastAsia" w:ascii="Times New Roman" w:hAnsi="Times New Roman" w:eastAsia="宋体" w:cs="Times New Roman"/>
          <w:b/>
          <w:bCs/>
          <w:spacing w:val="49"/>
          <w:w w:val="120"/>
          <w:sz w:val="96"/>
          <w:szCs w:val="96"/>
          <w:lang w:eastAsia="zh-CN"/>
        </w:rPr>
        <w:t>16</w:t>
      </w:r>
    </w:p>
    <w:p>
      <w:pPr>
        <w:spacing w:before="349" w:line="185" w:lineRule="auto"/>
        <w:ind w:firstLine="216"/>
        <w:rPr>
          <w:rFonts w:ascii="黑体" w:hAnsi="黑体" w:eastAsia="黑体" w:cs="黑体"/>
          <w:sz w:val="48"/>
          <w:szCs w:val="48"/>
        </w:rPr>
      </w:pPr>
      <w:r>
        <w:rPr>
          <w:rFonts w:ascii="黑体" w:hAnsi="黑体" w:eastAsia="黑体" w:cs="黑体"/>
          <w:spacing w:val="-18"/>
          <w:sz w:val="48"/>
          <w:szCs w:val="48"/>
        </w:rPr>
        <w:t>省</w:t>
      </w:r>
      <w:r>
        <w:rPr>
          <w:rFonts w:ascii="黑体" w:hAnsi="黑体" w:eastAsia="黑体" w:cs="黑体"/>
          <w:spacing w:val="39"/>
          <w:sz w:val="48"/>
          <w:szCs w:val="48"/>
        </w:rPr>
        <w:t xml:space="preserve">  </w:t>
      </w:r>
      <w:r>
        <w:rPr>
          <w:rFonts w:hint="eastAsia" w:ascii="黑体" w:hAnsi="黑体" w:eastAsia="黑体" w:cs="黑体"/>
          <w:spacing w:val="39"/>
          <w:sz w:val="48"/>
          <w:szCs w:val="48"/>
          <w:lang w:eastAsia="zh-CN"/>
        </w:rPr>
        <w:t>亳</w:t>
      </w:r>
      <w:r>
        <w:rPr>
          <w:rFonts w:ascii="黑体" w:hAnsi="黑体" w:eastAsia="黑体" w:cs="黑体"/>
          <w:spacing w:val="37"/>
          <w:sz w:val="48"/>
          <w:szCs w:val="48"/>
        </w:rPr>
        <w:t xml:space="preserve">  </w:t>
      </w:r>
      <w:r>
        <w:rPr>
          <w:rFonts w:hint="eastAsia" w:ascii="黑体" w:hAnsi="黑体" w:eastAsia="黑体" w:cs="黑体"/>
          <w:spacing w:val="37"/>
          <w:sz w:val="48"/>
          <w:szCs w:val="48"/>
          <w:lang w:eastAsia="zh-CN"/>
        </w:rPr>
        <w:t>州</w:t>
      </w:r>
      <w:r>
        <w:rPr>
          <w:rFonts w:ascii="黑体" w:hAnsi="黑体" w:eastAsia="黑体" w:cs="黑体"/>
          <w:spacing w:val="41"/>
          <w:sz w:val="48"/>
          <w:szCs w:val="48"/>
        </w:rPr>
        <w:t xml:space="preserve">  </w:t>
      </w:r>
      <w:r>
        <w:rPr>
          <w:rFonts w:ascii="黑体" w:hAnsi="黑体" w:eastAsia="黑体" w:cs="黑体"/>
          <w:spacing w:val="-18"/>
          <w:sz w:val="48"/>
          <w:szCs w:val="48"/>
        </w:rPr>
        <w:t>市</w:t>
      </w:r>
      <w:r>
        <w:rPr>
          <w:rFonts w:ascii="黑体" w:hAnsi="黑体" w:eastAsia="黑体" w:cs="黑体"/>
          <w:spacing w:val="40"/>
          <w:sz w:val="48"/>
          <w:szCs w:val="48"/>
        </w:rPr>
        <w:t xml:space="preserve">  </w:t>
      </w:r>
      <w:r>
        <w:rPr>
          <w:rFonts w:ascii="黑体" w:hAnsi="黑体" w:eastAsia="黑体" w:cs="黑体"/>
          <w:spacing w:val="-18"/>
          <w:sz w:val="48"/>
          <w:szCs w:val="48"/>
        </w:rPr>
        <w:t>地</w:t>
      </w:r>
      <w:r>
        <w:rPr>
          <w:rFonts w:ascii="黑体" w:hAnsi="黑体" w:eastAsia="黑体" w:cs="黑体"/>
          <w:spacing w:val="43"/>
          <w:sz w:val="48"/>
          <w:szCs w:val="48"/>
        </w:rPr>
        <w:t xml:space="preserve">  </w:t>
      </w:r>
      <w:r>
        <w:rPr>
          <w:rFonts w:ascii="黑体" w:hAnsi="黑体" w:eastAsia="黑体" w:cs="黑体"/>
          <w:spacing w:val="-18"/>
          <w:sz w:val="48"/>
          <w:szCs w:val="48"/>
        </w:rPr>
        <w:t>方</w:t>
      </w:r>
      <w:r>
        <w:rPr>
          <w:rFonts w:ascii="黑体" w:hAnsi="黑体" w:eastAsia="黑体" w:cs="黑体"/>
          <w:spacing w:val="33"/>
          <w:sz w:val="48"/>
          <w:szCs w:val="48"/>
        </w:rPr>
        <w:t xml:space="preserve">  </w:t>
      </w:r>
      <w:r>
        <w:rPr>
          <w:rFonts w:ascii="黑体" w:hAnsi="黑体" w:eastAsia="黑体" w:cs="黑体"/>
          <w:spacing w:val="-18"/>
          <w:sz w:val="48"/>
          <w:szCs w:val="48"/>
        </w:rPr>
        <w:t>标</w:t>
      </w:r>
      <w:r>
        <w:rPr>
          <w:rFonts w:ascii="黑体" w:hAnsi="黑体" w:eastAsia="黑体" w:cs="黑体"/>
          <w:spacing w:val="40"/>
          <w:sz w:val="48"/>
          <w:szCs w:val="48"/>
        </w:rPr>
        <w:t xml:space="preserve">  </w:t>
      </w:r>
      <w:r>
        <w:rPr>
          <w:rFonts w:ascii="黑体" w:hAnsi="黑体" w:eastAsia="黑体" w:cs="黑体"/>
          <w:spacing w:val="-18"/>
          <w:sz w:val="48"/>
          <w:szCs w:val="48"/>
        </w:rPr>
        <w:t>准</w:t>
      </w:r>
    </w:p>
    <w:p>
      <w:pPr>
        <w:spacing w:line="313" w:lineRule="auto"/>
        <w:rPr>
          <w:rFonts w:ascii="宋体"/>
          <w:sz w:val="21"/>
        </w:rPr>
      </w:pPr>
    </w:p>
    <w:p>
      <w:pPr>
        <w:spacing w:before="91" w:line="185" w:lineRule="auto"/>
        <w:ind w:firstLine="5403"/>
        <w:rPr>
          <w:rFonts w:ascii="黑体" w:hAnsi="黑体" w:eastAsia="黑体" w:cs="黑体"/>
          <w:sz w:val="28"/>
          <w:szCs w:val="28"/>
        </w:rPr>
      </w:pPr>
      <w:r>
        <w:rPr>
          <w:rFonts w:ascii="黑体" w:hAnsi="黑体" w:eastAsia="黑体" w:cs="黑体"/>
          <w:spacing w:val="-1"/>
          <w:sz w:val="28"/>
          <w:szCs w:val="28"/>
        </w:rPr>
        <w:t>DBXX/TXXXX—XXXX</w:t>
      </w:r>
    </w:p>
    <w:p>
      <w:pPr>
        <w:sectPr>
          <w:headerReference r:id="rId5" w:type="default"/>
          <w:footerReference r:id="rId6" w:type="default"/>
          <w:pgSz w:w="11907" w:h="16839"/>
          <w:pgMar w:top="480" w:right="818" w:bottom="0" w:left="1341" w:header="0" w:footer="0" w:gutter="0"/>
          <w:pgNumType w:fmt="decimal"/>
          <w:cols w:equalWidth="0" w:num="2">
            <w:col w:w="1704" w:space="100"/>
            <w:col w:w="7944"/>
          </w:cols>
        </w:sect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169" w:line="185" w:lineRule="auto"/>
        <w:ind w:firstLine="1010"/>
        <w:rPr>
          <w:rFonts w:ascii="黑体" w:hAnsi="黑体" w:eastAsia="黑体" w:cs="黑体"/>
          <w:sz w:val="52"/>
          <w:szCs w:val="52"/>
        </w:rPr>
      </w:pPr>
      <w:r>
        <w:rPr>
          <w:rFonts w:ascii="黑体" w:hAnsi="黑体" w:eastAsia="黑体" w:cs="黑体"/>
          <w:spacing w:val="-1"/>
          <w:sz w:val="52"/>
          <w:szCs w:val="52"/>
        </w:rPr>
        <w:t>二次供水标准化泵房</w:t>
      </w:r>
      <w:r>
        <w:rPr>
          <w:rFonts w:hint="eastAsia" w:ascii="黑体" w:hAnsi="黑体" w:eastAsia="黑体" w:cs="黑体"/>
          <w:spacing w:val="-1"/>
          <w:sz w:val="52"/>
          <w:szCs w:val="52"/>
          <w:lang w:eastAsia="zh-CN"/>
        </w:rPr>
        <w:t>安装技术导则</w:t>
      </w:r>
    </w:p>
    <w:p>
      <w:pPr>
        <w:spacing w:line="392" w:lineRule="auto"/>
        <w:rPr>
          <w:rFonts w:ascii="宋体"/>
          <w:sz w:val="21"/>
        </w:rPr>
      </w:pPr>
    </w:p>
    <w:p>
      <w:pPr>
        <w:spacing w:before="80" w:line="190" w:lineRule="auto"/>
        <w:ind w:firstLine="13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Standardized</w:t>
      </w:r>
      <w:r>
        <w:rPr>
          <w:rFonts w:ascii="Times New Roman" w:hAnsi="Times New Roman" w:eastAsia="Times New Roman" w:cs="Times New Roman"/>
          <w:spacing w:val="41"/>
          <w:w w:val="101"/>
          <w:sz w:val="28"/>
          <w:szCs w:val="28"/>
        </w:rPr>
        <w:t xml:space="preserve"> </w:t>
      </w:r>
      <w:r>
        <w:rPr>
          <w:rFonts w:hint="eastAsia" w:ascii="Times New Roman" w:hAnsi="Times New Roman" w:eastAsia="Times New Roman" w:cs="Times New Roman"/>
          <w:spacing w:val="-2"/>
          <w:sz w:val="28"/>
          <w:szCs w:val="28"/>
        </w:rPr>
        <w:t xml:space="preserve"> pump house for secondary water supply</w:t>
      </w:r>
      <w:r>
        <w:rPr>
          <w:rFonts w:hint="eastAsia" w:ascii="Times New Roman" w:hAnsi="Times New Roman" w:eastAsia="宋体" w:cs="Times New Roman"/>
          <w:spacing w:val="-2"/>
          <w:sz w:val="28"/>
          <w:szCs w:val="28"/>
          <w:lang w:val="en-US" w:eastAsia="zh-CN"/>
        </w:rPr>
        <w:t xml:space="preserve"> </w:t>
      </w:r>
      <w:r>
        <w:rPr>
          <w:rFonts w:hint="eastAsia" w:ascii="Times New Roman" w:hAnsi="Times New Roman" w:eastAsia="Times New Roman" w:cs="Times New Roman"/>
          <w:spacing w:val="-2"/>
          <w:sz w:val="28"/>
          <w:szCs w:val="28"/>
        </w:rPr>
        <w:t>Installation technical guidelines</w:t>
      </w:r>
    </w:p>
    <w:p>
      <w:pPr>
        <w:spacing w:line="282" w:lineRule="auto"/>
        <w:rPr>
          <w:rFonts w:ascii="宋体"/>
          <w:sz w:val="21"/>
        </w:rPr>
      </w:pPr>
    </w:p>
    <w:p>
      <w:pPr>
        <w:spacing w:line="283" w:lineRule="auto"/>
        <w:rPr>
          <w:rFonts w:ascii="宋体"/>
          <w:sz w:val="21"/>
        </w:rPr>
      </w:pPr>
    </w:p>
    <w:p>
      <w:pPr>
        <w:spacing w:line="283" w:lineRule="auto"/>
        <w:rPr>
          <w:rFonts w:ascii="宋体"/>
          <w:sz w:val="21"/>
        </w:rPr>
      </w:pPr>
    </w:p>
    <w:p>
      <w:pPr>
        <w:spacing w:line="283" w:lineRule="auto"/>
        <w:rPr>
          <w:rFonts w:ascii="宋体"/>
          <w:sz w:val="21"/>
        </w:rPr>
      </w:pPr>
    </w:p>
    <w:p>
      <w:pPr>
        <w:spacing w:line="283" w:lineRule="auto"/>
        <w:rPr>
          <w:rFonts w:ascii="宋体"/>
          <w:sz w:val="21"/>
        </w:rPr>
      </w:pPr>
    </w:p>
    <w:p>
      <w:pPr>
        <w:spacing w:before="78" w:line="185" w:lineRule="auto"/>
        <w:ind w:firstLine="4073"/>
        <w:rPr>
          <w:rFonts w:ascii="宋体" w:hAnsi="宋体" w:eastAsia="宋体" w:cs="宋体"/>
          <w:sz w:val="24"/>
          <w:szCs w:val="24"/>
        </w:rPr>
      </w:pPr>
      <w:r>
        <w:rPr>
          <w:rFonts w:ascii="宋体" w:hAnsi="宋体" w:eastAsia="宋体" w:cs="宋体"/>
          <w:spacing w:val="-4"/>
          <w:sz w:val="24"/>
          <w:szCs w:val="24"/>
        </w:rPr>
        <w:t>（征求意见稿）</w:t>
      </w: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2" w:lineRule="auto"/>
        <w:rPr>
          <w:rFonts w:ascii="宋体"/>
          <w:sz w:val="21"/>
        </w:rPr>
      </w:pPr>
    </w:p>
    <w:p>
      <w:pPr>
        <w:spacing w:before="69" w:line="186" w:lineRule="auto"/>
        <w:ind w:firstLine="159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在提交反馈意见时，请将您知道的相关专利连同支持性文件一并附上。</w:t>
      </w: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before="91" w:line="185" w:lineRule="auto"/>
        <w:ind w:firstLine="82"/>
        <w:rPr>
          <w:rFonts w:ascii="黑体" w:hAnsi="黑体" w:eastAsia="黑体" w:cs="黑体"/>
          <w:sz w:val="28"/>
          <w:szCs w:val="28"/>
        </w:rPr>
      </w:pPr>
      <w:r>
        <w:rPr>
          <w:rFonts w:ascii="黑体" w:hAnsi="黑体" w:eastAsia="黑体" w:cs="黑体"/>
          <w:spacing w:val="-2"/>
          <w:sz w:val="28"/>
          <w:szCs w:val="28"/>
        </w:rPr>
        <w:t>XXXX-XX-XX</w:t>
      </w:r>
      <w:r>
        <w:rPr>
          <w:rFonts w:ascii="黑体" w:hAnsi="黑体" w:eastAsia="黑体" w:cs="黑体"/>
          <w:spacing w:val="-43"/>
          <w:sz w:val="28"/>
          <w:szCs w:val="28"/>
        </w:rPr>
        <w:t xml:space="preserve"> </w:t>
      </w:r>
      <w:r>
        <w:rPr>
          <w:rFonts w:ascii="黑体" w:hAnsi="黑体" w:eastAsia="黑体" w:cs="黑体"/>
          <w:spacing w:val="-2"/>
          <w:sz w:val="28"/>
          <w:szCs w:val="28"/>
        </w:rPr>
        <w:t>发布</w:t>
      </w:r>
      <w:r>
        <w:rPr>
          <w:rFonts w:ascii="黑体" w:hAnsi="黑体" w:eastAsia="黑体" w:cs="黑体"/>
          <w:sz w:val="28"/>
          <w:szCs w:val="28"/>
        </w:rPr>
        <w:t xml:space="preserve">                                        </w:t>
      </w:r>
      <w:r>
        <w:rPr>
          <w:rFonts w:ascii="黑体" w:hAnsi="黑体" w:eastAsia="黑体" w:cs="黑体"/>
          <w:spacing w:val="-2"/>
          <w:sz w:val="28"/>
          <w:szCs w:val="28"/>
        </w:rPr>
        <w:t>XXXX-XX-XX</w:t>
      </w:r>
      <w:r>
        <w:rPr>
          <w:rFonts w:ascii="黑体" w:hAnsi="黑体" w:eastAsia="黑体" w:cs="黑体"/>
          <w:spacing w:val="-45"/>
          <w:sz w:val="28"/>
          <w:szCs w:val="28"/>
        </w:rPr>
        <w:t xml:space="preserve"> </w:t>
      </w:r>
      <w:r>
        <w:rPr>
          <w:rFonts w:ascii="黑体" w:hAnsi="黑体" w:eastAsia="黑体" w:cs="黑体"/>
          <w:spacing w:val="-2"/>
          <w:sz w:val="28"/>
          <w:szCs w:val="28"/>
        </w:rPr>
        <w:t>实施</w:t>
      </w:r>
    </w:p>
    <w:p>
      <w:pPr>
        <w:rPr>
          <w:rFonts w:ascii="宋体"/>
          <w:sz w:val="21"/>
        </w:rPr>
      </w:pPr>
    </w:p>
    <w:p>
      <w:pPr>
        <w:spacing w:line="241" w:lineRule="auto"/>
        <w:rPr>
          <w:rFonts w:ascii="宋体"/>
          <w:sz w:val="21"/>
        </w:rPr>
      </w:pPr>
    </w:p>
    <w:p>
      <w:pPr>
        <w:spacing w:line="241" w:lineRule="auto"/>
        <w:rPr>
          <w:rFonts w:ascii="宋体"/>
          <w:sz w:val="21"/>
        </w:rPr>
      </w:pPr>
    </w:p>
    <w:p>
      <w:pPr>
        <w:spacing w:before="91" w:line="185" w:lineRule="auto"/>
        <w:ind w:firstLine="2720"/>
        <w:rPr>
          <w:rFonts w:ascii="黑体" w:hAnsi="黑体" w:eastAsia="黑体" w:cs="黑体"/>
          <w:sz w:val="28"/>
          <w:szCs w:val="28"/>
        </w:rPr>
      </w:pPr>
      <w:r>
        <w:rPr>
          <w:rFonts w:hint="eastAsia" w:ascii="黑体" w:hAnsi="黑体" w:eastAsia="黑体" w:cs="黑体"/>
          <w:spacing w:val="-3"/>
          <w:sz w:val="28"/>
          <w:szCs w:val="28"/>
          <w:lang w:eastAsia="zh-CN"/>
        </w:rPr>
        <w:t>亳州</w:t>
      </w:r>
      <w:r>
        <w:rPr>
          <w:rFonts w:ascii="黑体" w:hAnsi="黑体" w:eastAsia="黑体" w:cs="黑体"/>
          <w:spacing w:val="-3"/>
          <w:sz w:val="28"/>
          <w:szCs w:val="28"/>
        </w:rPr>
        <w:t>市市场监督管理局</w:t>
      </w:r>
      <w:r>
        <w:rPr>
          <w:rFonts w:ascii="黑体" w:hAnsi="黑体" w:eastAsia="黑体" w:cs="黑体"/>
          <w:spacing w:val="6"/>
          <w:sz w:val="28"/>
          <w:szCs w:val="28"/>
        </w:rPr>
        <w:t xml:space="preserve">    </w:t>
      </w:r>
      <w:r>
        <w:rPr>
          <w:rFonts w:ascii="黑体" w:hAnsi="黑体" w:eastAsia="黑体" w:cs="黑体"/>
          <w:spacing w:val="-3"/>
          <w:sz w:val="28"/>
          <w:szCs w:val="28"/>
        </w:rPr>
        <w:t>发</w:t>
      </w:r>
      <w:r>
        <w:rPr>
          <w:rFonts w:ascii="黑体" w:hAnsi="黑体" w:eastAsia="黑体" w:cs="黑体"/>
          <w:spacing w:val="37"/>
          <w:sz w:val="28"/>
          <w:szCs w:val="28"/>
        </w:rPr>
        <w:t xml:space="preserve"> </w:t>
      </w:r>
      <w:r>
        <w:rPr>
          <w:rFonts w:ascii="黑体" w:hAnsi="黑体" w:eastAsia="黑体" w:cs="黑体"/>
          <w:spacing w:val="-3"/>
          <w:sz w:val="28"/>
          <w:szCs w:val="28"/>
        </w:rPr>
        <w:t>布</w:t>
      </w:r>
    </w:p>
    <w:p>
      <w:pPr>
        <w:sectPr>
          <w:type w:val="continuous"/>
          <w:pgSz w:w="11907" w:h="16839"/>
          <w:pgMar w:top="480" w:right="818" w:bottom="0" w:left="1341" w:header="0" w:footer="0" w:gutter="0"/>
          <w:pgNumType w:fmt="decimal"/>
          <w:cols w:equalWidth="0" w:num="1">
            <w:col w:w="9747"/>
          </w:cols>
        </w:sectPr>
      </w:pPr>
    </w:p>
    <w:p>
      <w:pPr>
        <w:spacing w:before="41" w:line="186" w:lineRule="auto"/>
        <w:ind w:firstLine="7676"/>
        <w:rPr>
          <w:rFonts w:ascii="黑体" w:hAnsi="黑体" w:eastAsia="黑体" w:cs="黑体"/>
          <w:sz w:val="21"/>
          <w:szCs w:val="21"/>
        </w:rPr>
      </w:pPr>
      <w:r>
        <w:rPr>
          <w:rFonts w:ascii="黑体" w:hAnsi="黑体" w:eastAsia="黑体" w:cs="黑体"/>
          <w:spacing w:val="-1"/>
          <w:sz w:val="21"/>
          <w:szCs w:val="21"/>
        </w:rPr>
        <w:t>DBXX/TXXXX</w:t>
      </w:r>
      <w:r>
        <w:rPr>
          <w:rFonts w:ascii="宋体" w:hAnsi="宋体" w:eastAsia="宋体" w:cs="宋体"/>
          <w:spacing w:val="-1"/>
          <w:sz w:val="21"/>
          <w:szCs w:val="21"/>
        </w:rPr>
        <w:t>—</w:t>
      </w:r>
      <w:r>
        <w:rPr>
          <w:rFonts w:ascii="黑体" w:hAnsi="黑体" w:eastAsia="黑体" w:cs="黑体"/>
          <w:spacing w:val="-1"/>
          <w:sz w:val="21"/>
          <w:szCs w:val="21"/>
        </w:rPr>
        <w:t>XXXX</w:t>
      </w:r>
    </w:p>
    <w:p>
      <w:pPr>
        <w:spacing w:before="301" w:line="184" w:lineRule="auto"/>
        <w:ind w:firstLine="4082"/>
        <w:rPr>
          <w:rFonts w:ascii="黑体" w:hAnsi="黑体" w:eastAsia="黑体" w:cs="黑体"/>
          <w:sz w:val="32"/>
          <w:szCs w:val="32"/>
        </w:rPr>
      </w:pPr>
      <w:r>
        <w:rPr>
          <w:rFonts w:ascii="黑体" w:hAnsi="黑体" w:eastAsia="黑体" w:cs="黑体"/>
          <w:spacing w:val="-27"/>
          <w:sz w:val="32"/>
          <w:szCs w:val="32"/>
        </w:rPr>
        <w:t>目</w:t>
      </w:r>
      <w:r>
        <w:rPr>
          <w:rFonts w:ascii="黑体" w:hAnsi="黑体" w:eastAsia="黑体" w:cs="黑体"/>
          <w:spacing w:val="3"/>
          <w:sz w:val="32"/>
          <w:szCs w:val="32"/>
        </w:rPr>
        <w:t xml:space="preserve">    </w:t>
      </w:r>
      <w:r>
        <w:rPr>
          <w:rFonts w:ascii="黑体" w:hAnsi="黑体" w:eastAsia="黑体" w:cs="黑体"/>
          <w:spacing w:val="-27"/>
          <w:sz w:val="32"/>
          <w:szCs w:val="32"/>
        </w:rPr>
        <w:t>次</w:t>
      </w:r>
    </w:p>
    <w:sdt>
      <w:sdtPr>
        <w:rPr>
          <w:rFonts w:ascii="宋体" w:hAnsi="宋体" w:eastAsia="宋体" w:cs="Arial"/>
          <w:snapToGrid w:val="0"/>
          <w:color w:val="000000"/>
          <w:kern w:val="0"/>
          <w:sz w:val="21"/>
          <w:szCs w:val="21"/>
        </w:rPr>
        <w:id w:val="147468189"/>
        <w15:color w:val="DBDBDB"/>
        <w:docPartObj>
          <w:docPartGallery w:val="Table of Contents"/>
          <w:docPartUnique/>
        </w:docPartObj>
      </w:sdtPr>
      <w:sdtEndPr>
        <w:rPr>
          <w:rFonts w:ascii="宋体" w:hAnsi="宋体" w:eastAsia="宋体" w:cs="Arial"/>
          <w:snapToGrid w:val="0"/>
          <w:color w:val="000000"/>
          <w:kern w:val="0"/>
          <w:sz w:val="21"/>
          <w:szCs w:val="21"/>
        </w:rPr>
      </w:sdtEndPr>
      <w:sdtContent>
        <w:p>
          <w:pPr>
            <w:spacing w:before="0" w:beforeLines="0" w:after="0" w:afterLines="0" w:line="240" w:lineRule="auto"/>
            <w:ind w:left="0" w:leftChars="0" w:right="0" w:rightChars="0" w:firstLine="0" w:firstLineChars="0"/>
            <w:jc w:val="center"/>
          </w:pPr>
        </w:p>
        <w:p>
          <w:pPr>
            <w:pStyle w:val="4"/>
            <w:tabs>
              <w:tab w:val="right" w:leader="dot" w:pos="9392"/>
            </w:tabs>
          </w:pPr>
          <w:r>
            <w:fldChar w:fldCharType="begin"/>
          </w:r>
          <w:r>
            <w:instrText xml:space="preserve">TOC \o "1-3" \h \u </w:instrText>
          </w:r>
          <w:r>
            <w:fldChar w:fldCharType="separate"/>
          </w:r>
          <w:r>
            <w:fldChar w:fldCharType="begin"/>
          </w:r>
          <w:r>
            <w:instrText xml:space="preserve"> HYPERLINK \l _Toc16109 </w:instrText>
          </w:r>
          <w:r>
            <w:fldChar w:fldCharType="separate"/>
          </w:r>
          <w:r>
            <w:rPr>
              <w:rFonts w:ascii="黑体" w:hAnsi="黑体" w:eastAsia="黑体" w:cs="黑体"/>
              <w:spacing w:val="-7"/>
              <w:szCs w:val="32"/>
            </w:rPr>
            <w:t>前</w:t>
          </w:r>
          <w:r>
            <w:rPr>
              <w:rFonts w:ascii="黑体" w:hAnsi="黑体" w:eastAsia="黑体" w:cs="黑体"/>
              <w:spacing w:val="6"/>
              <w:szCs w:val="32"/>
            </w:rPr>
            <w:t xml:space="preserve">    </w:t>
          </w:r>
          <w:r>
            <w:rPr>
              <w:rFonts w:ascii="黑体" w:hAnsi="黑体" w:eastAsia="黑体" w:cs="黑体"/>
              <w:spacing w:val="-7"/>
              <w:szCs w:val="32"/>
            </w:rPr>
            <w:t>言</w:t>
          </w:r>
          <w:r>
            <w:tab/>
          </w:r>
          <w:r>
            <w:fldChar w:fldCharType="begin"/>
          </w:r>
          <w:r>
            <w:instrText xml:space="preserve"> PAGEREF _Toc16109 \h </w:instrText>
          </w:r>
          <w:r>
            <w:fldChar w:fldCharType="separate"/>
          </w:r>
          <w:r>
            <w:t>3</w:t>
          </w:r>
          <w:r>
            <w:fldChar w:fldCharType="end"/>
          </w:r>
          <w:r>
            <w:fldChar w:fldCharType="end"/>
          </w:r>
        </w:p>
        <w:p>
          <w:pPr>
            <w:pStyle w:val="4"/>
            <w:tabs>
              <w:tab w:val="right" w:leader="dot" w:pos="9392"/>
            </w:tabs>
          </w:pPr>
          <w:r>
            <w:fldChar w:fldCharType="begin"/>
          </w:r>
          <w:r>
            <w:instrText xml:space="preserve"> HYPERLINK \l _Toc9110 </w:instrText>
          </w:r>
          <w:r>
            <w:fldChar w:fldCharType="separate"/>
          </w:r>
          <w:r>
            <w:rPr>
              <w:rFonts w:ascii="黑体" w:hAnsi="黑体" w:eastAsia="黑体" w:cs="黑体"/>
              <w:spacing w:val="-1"/>
              <w:szCs w:val="32"/>
            </w:rPr>
            <w:t>二次供水标准化泵房</w:t>
          </w:r>
          <w:r>
            <w:rPr>
              <w:rFonts w:hint="eastAsia" w:ascii="黑体" w:hAnsi="黑体" w:eastAsia="黑体" w:cs="黑体"/>
              <w:spacing w:val="-1"/>
              <w:szCs w:val="32"/>
              <w:lang w:eastAsia="zh-CN"/>
            </w:rPr>
            <w:t>安装技术导则</w:t>
          </w:r>
          <w:r>
            <w:tab/>
          </w:r>
          <w:r>
            <w:fldChar w:fldCharType="begin"/>
          </w:r>
          <w:r>
            <w:instrText xml:space="preserve"> PAGEREF _Toc9110 \h </w:instrText>
          </w:r>
          <w:r>
            <w:fldChar w:fldCharType="separate"/>
          </w:r>
          <w:r>
            <w:t>4</w:t>
          </w:r>
          <w:r>
            <w:fldChar w:fldCharType="end"/>
          </w:r>
          <w:r>
            <w:fldChar w:fldCharType="end"/>
          </w:r>
        </w:p>
        <w:p>
          <w:pPr>
            <w:pStyle w:val="4"/>
            <w:tabs>
              <w:tab w:val="right" w:leader="dot" w:pos="9392"/>
            </w:tabs>
          </w:pPr>
          <w:r>
            <w:fldChar w:fldCharType="begin"/>
          </w:r>
          <w:r>
            <w:instrText xml:space="preserve"> HYPERLINK \l _Toc31517 </w:instrText>
          </w:r>
          <w:r>
            <w:fldChar w:fldCharType="separate"/>
          </w:r>
          <w:r>
            <w:rPr>
              <w:rFonts w:hint="eastAsia" w:ascii="黑体" w:hAnsi="黑体" w:eastAsia="黑体" w:cs="黑体"/>
              <w:snapToGrid w:val="0"/>
              <w:spacing w:val="-6"/>
              <w:kern w:val="0"/>
              <w:szCs w:val="21"/>
            </w:rPr>
            <w:t>1</w:t>
          </w:r>
          <w:r>
            <w:rPr>
              <w:rFonts w:hint="eastAsia" w:ascii="黑体" w:hAnsi="黑体" w:eastAsia="黑体" w:cs="黑体"/>
              <w:snapToGrid w:val="0"/>
              <w:spacing w:val="-6"/>
              <w:kern w:val="0"/>
              <w:szCs w:val="21"/>
              <w:lang w:val="en-US" w:eastAsia="zh-CN"/>
            </w:rPr>
            <w:t xml:space="preserve">  </w:t>
          </w:r>
          <w:r>
            <w:rPr>
              <w:rFonts w:hint="eastAsia" w:ascii="黑体" w:hAnsi="黑体" w:eastAsia="黑体" w:cs="黑体"/>
              <w:snapToGrid w:val="0"/>
              <w:spacing w:val="-6"/>
              <w:kern w:val="0"/>
              <w:szCs w:val="21"/>
            </w:rPr>
            <w:t>总则</w:t>
          </w:r>
          <w:r>
            <w:tab/>
          </w:r>
          <w:r>
            <w:fldChar w:fldCharType="begin"/>
          </w:r>
          <w:r>
            <w:instrText xml:space="preserve"> PAGEREF _Toc31517 \h </w:instrText>
          </w:r>
          <w:r>
            <w:fldChar w:fldCharType="separate"/>
          </w:r>
          <w:r>
            <w:t>4</w:t>
          </w:r>
          <w:r>
            <w:fldChar w:fldCharType="end"/>
          </w:r>
          <w:r>
            <w:fldChar w:fldCharType="end"/>
          </w:r>
        </w:p>
        <w:p>
          <w:pPr>
            <w:pStyle w:val="5"/>
            <w:tabs>
              <w:tab w:val="right" w:leader="dot" w:pos="9392"/>
            </w:tabs>
          </w:pPr>
          <w:r>
            <w:fldChar w:fldCharType="begin"/>
          </w:r>
          <w:r>
            <w:instrText xml:space="preserve"> HYPERLINK \l _Toc28280 </w:instrText>
          </w:r>
          <w:r>
            <w:fldChar w:fldCharType="separate"/>
          </w:r>
          <w:r>
            <w:rPr>
              <w:rFonts w:hint="eastAsia" w:ascii="黑体" w:hAnsi="黑体" w:eastAsia="黑体" w:cs="黑体"/>
              <w:snapToGrid w:val="0"/>
              <w:spacing w:val="-6"/>
              <w:kern w:val="0"/>
              <w:szCs w:val="21"/>
            </w:rPr>
            <w:t xml:space="preserve">1.1 </w:t>
          </w:r>
          <w:r>
            <w:rPr>
              <w:rFonts w:hint="eastAsia" w:ascii="黑体" w:hAnsi="黑体" w:eastAsia="黑体" w:cs="黑体"/>
              <w:snapToGrid w:val="0"/>
              <w:spacing w:val="-6"/>
              <w:kern w:val="0"/>
              <w:szCs w:val="21"/>
              <w:lang w:val="en-US" w:eastAsia="zh-CN"/>
            </w:rPr>
            <w:t xml:space="preserve"> </w:t>
          </w:r>
          <w:r>
            <w:rPr>
              <w:rFonts w:hint="eastAsia" w:ascii="黑体" w:hAnsi="黑体" w:eastAsia="黑体" w:cs="黑体"/>
              <w:snapToGrid w:val="0"/>
              <w:spacing w:val="-6"/>
              <w:kern w:val="0"/>
              <w:szCs w:val="21"/>
            </w:rPr>
            <w:t>目的和意义</w:t>
          </w:r>
          <w:r>
            <w:tab/>
          </w:r>
          <w:r>
            <w:fldChar w:fldCharType="begin"/>
          </w:r>
          <w:r>
            <w:instrText xml:space="preserve"> PAGEREF _Toc28280 \h </w:instrText>
          </w:r>
          <w:r>
            <w:fldChar w:fldCharType="separate"/>
          </w:r>
          <w:r>
            <w:t>4</w:t>
          </w:r>
          <w:r>
            <w:fldChar w:fldCharType="end"/>
          </w:r>
          <w:r>
            <w:fldChar w:fldCharType="end"/>
          </w:r>
        </w:p>
        <w:p>
          <w:pPr>
            <w:pStyle w:val="5"/>
            <w:tabs>
              <w:tab w:val="right" w:leader="dot" w:pos="9392"/>
            </w:tabs>
          </w:pPr>
          <w:r>
            <w:fldChar w:fldCharType="begin"/>
          </w:r>
          <w:r>
            <w:instrText xml:space="preserve"> HYPERLINK \l _Toc18245 </w:instrText>
          </w:r>
          <w:r>
            <w:fldChar w:fldCharType="separate"/>
          </w:r>
          <w:r>
            <w:rPr>
              <w:rFonts w:hint="eastAsia" w:ascii="黑体" w:hAnsi="黑体" w:eastAsia="黑体" w:cs="黑体"/>
              <w:snapToGrid w:val="0"/>
              <w:spacing w:val="-6"/>
              <w:kern w:val="0"/>
              <w:szCs w:val="21"/>
            </w:rPr>
            <w:t xml:space="preserve">1.2 </w:t>
          </w:r>
          <w:r>
            <w:rPr>
              <w:rFonts w:hint="eastAsia" w:ascii="黑体" w:hAnsi="黑体" w:eastAsia="黑体" w:cs="黑体"/>
              <w:snapToGrid w:val="0"/>
              <w:spacing w:val="-6"/>
              <w:kern w:val="0"/>
              <w:szCs w:val="21"/>
              <w:lang w:val="en-US" w:eastAsia="zh-CN"/>
            </w:rPr>
            <w:t xml:space="preserve"> </w:t>
          </w:r>
          <w:r>
            <w:rPr>
              <w:rFonts w:hint="eastAsia" w:ascii="黑体" w:hAnsi="黑体" w:eastAsia="黑体" w:cs="黑体"/>
              <w:snapToGrid w:val="0"/>
              <w:spacing w:val="-6"/>
              <w:kern w:val="0"/>
              <w:szCs w:val="21"/>
            </w:rPr>
            <w:t>适用范围</w:t>
          </w:r>
          <w:r>
            <w:tab/>
          </w:r>
          <w:r>
            <w:fldChar w:fldCharType="begin"/>
          </w:r>
          <w:r>
            <w:instrText xml:space="preserve"> PAGEREF _Toc18245 \h </w:instrText>
          </w:r>
          <w:r>
            <w:fldChar w:fldCharType="separate"/>
          </w:r>
          <w:r>
            <w:t>4</w:t>
          </w:r>
          <w:r>
            <w:fldChar w:fldCharType="end"/>
          </w:r>
          <w:r>
            <w:fldChar w:fldCharType="end"/>
          </w:r>
        </w:p>
        <w:p>
          <w:pPr>
            <w:pStyle w:val="5"/>
            <w:tabs>
              <w:tab w:val="right" w:leader="dot" w:pos="9392"/>
            </w:tabs>
          </w:pPr>
          <w:r>
            <w:fldChar w:fldCharType="begin"/>
          </w:r>
          <w:r>
            <w:instrText xml:space="preserve"> HYPERLINK \l _Toc562 </w:instrText>
          </w:r>
          <w:r>
            <w:fldChar w:fldCharType="separate"/>
          </w:r>
          <w:r>
            <w:rPr>
              <w:rFonts w:hint="eastAsia" w:ascii="黑体" w:hAnsi="黑体" w:eastAsia="黑体" w:cs="黑体"/>
              <w:snapToGrid w:val="0"/>
              <w:spacing w:val="-6"/>
              <w:kern w:val="0"/>
              <w:szCs w:val="21"/>
            </w:rPr>
            <w:t xml:space="preserve">1.3 </w:t>
          </w:r>
          <w:r>
            <w:rPr>
              <w:rFonts w:hint="eastAsia" w:ascii="黑体" w:hAnsi="黑体" w:eastAsia="黑体" w:cs="黑体"/>
              <w:snapToGrid w:val="0"/>
              <w:spacing w:val="-6"/>
              <w:kern w:val="0"/>
              <w:szCs w:val="21"/>
              <w:lang w:val="en-US" w:eastAsia="zh-CN"/>
            </w:rPr>
            <w:t xml:space="preserve"> </w:t>
          </w:r>
          <w:r>
            <w:rPr>
              <w:rFonts w:hint="eastAsia" w:ascii="黑体" w:hAnsi="黑体" w:eastAsia="黑体" w:cs="黑体"/>
              <w:snapToGrid w:val="0"/>
              <w:spacing w:val="-6"/>
              <w:kern w:val="0"/>
              <w:szCs w:val="21"/>
            </w:rPr>
            <w:t>基本要求</w:t>
          </w:r>
          <w:r>
            <w:tab/>
          </w:r>
          <w:r>
            <w:fldChar w:fldCharType="begin"/>
          </w:r>
          <w:r>
            <w:instrText xml:space="preserve"> PAGEREF _Toc562 \h </w:instrText>
          </w:r>
          <w:r>
            <w:fldChar w:fldCharType="separate"/>
          </w:r>
          <w:r>
            <w:t>4</w:t>
          </w:r>
          <w:r>
            <w:fldChar w:fldCharType="end"/>
          </w:r>
          <w:r>
            <w:fldChar w:fldCharType="end"/>
          </w:r>
        </w:p>
        <w:p>
          <w:pPr>
            <w:pStyle w:val="4"/>
            <w:tabs>
              <w:tab w:val="right" w:leader="dot" w:pos="9392"/>
            </w:tabs>
          </w:pPr>
          <w:r>
            <w:fldChar w:fldCharType="begin"/>
          </w:r>
          <w:r>
            <w:instrText xml:space="preserve"> HYPERLINK \l _Toc10143 </w:instrText>
          </w:r>
          <w:r>
            <w:fldChar w:fldCharType="separate"/>
          </w:r>
          <w:r>
            <w:rPr>
              <w:rFonts w:hint="eastAsia" w:ascii="黑体" w:hAnsi="黑体" w:eastAsia="黑体" w:cs="黑体"/>
              <w:snapToGrid w:val="0"/>
              <w:spacing w:val="-6"/>
              <w:kern w:val="0"/>
              <w:szCs w:val="21"/>
              <w:lang w:val="en-US" w:eastAsia="zh-CN"/>
            </w:rPr>
            <w:t>2  引用主要标准、规范和法规（现行）</w:t>
          </w:r>
          <w:r>
            <w:tab/>
          </w:r>
          <w:r>
            <w:fldChar w:fldCharType="begin"/>
          </w:r>
          <w:r>
            <w:instrText xml:space="preserve"> PAGEREF _Toc10143 \h </w:instrText>
          </w:r>
          <w:r>
            <w:fldChar w:fldCharType="separate"/>
          </w:r>
          <w:r>
            <w:t>4</w:t>
          </w:r>
          <w:r>
            <w:fldChar w:fldCharType="end"/>
          </w:r>
          <w:r>
            <w:fldChar w:fldCharType="end"/>
          </w:r>
        </w:p>
        <w:p>
          <w:pPr>
            <w:pStyle w:val="4"/>
            <w:tabs>
              <w:tab w:val="right" w:leader="dot" w:pos="9392"/>
            </w:tabs>
          </w:pPr>
          <w:r>
            <w:fldChar w:fldCharType="begin"/>
          </w:r>
          <w:r>
            <w:instrText xml:space="preserve"> HYPERLINK \l _Toc556 </w:instrText>
          </w:r>
          <w:r>
            <w:fldChar w:fldCharType="separate"/>
          </w:r>
          <w:r>
            <w:rPr>
              <w:rFonts w:hint="eastAsia" w:ascii="黑体" w:hAnsi="黑体" w:eastAsia="黑体" w:cs="黑体"/>
              <w:snapToGrid w:val="0"/>
              <w:spacing w:val="-6"/>
              <w:kern w:val="0"/>
              <w:szCs w:val="21"/>
              <w:lang w:val="en-US" w:eastAsia="zh-CN"/>
            </w:rPr>
            <w:t>3  术语</w:t>
          </w:r>
          <w:r>
            <w:tab/>
          </w:r>
          <w:r>
            <w:fldChar w:fldCharType="begin"/>
          </w:r>
          <w:r>
            <w:instrText xml:space="preserve"> PAGEREF _Toc556 \h </w:instrText>
          </w:r>
          <w:r>
            <w:fldChar w:fldCharType="separate"/>
          </w:r>
          <w:r>
            <w:t>5</w:t>
          </w:r>
          <w:r>
            <w:fldChar w:fldCharType="end"/>
          </w:r>
          <w:r>
            <w:fldChar w:fldCharType="end"/>
          </w:r>
        </w:p>
        <w:p>
          <w:pPr>
            <w:pStyle w:val="4"/>
            <w:tabs>
              <w:tab w:val="right" w:leader="dot" w:pos="9392"/>
            </w:tabs>
          </w:pPr>
          <w:r>
            <w:fldChar w:fldCharType="begin"/>
          </w:r>
          <w:r>
            <w:instrText xml:space="preserve"> HYPERLINK \l _Toc27070 </w:instrText>
          </w:r>
          <w:r>
            <w:fldChar w:fldCharType="separate"/>
          </w:r>
          <w:r>
            <w:rPr>
              <w:rFonts w:hint="eastAsia" w:ascii="黑体" w:hAnsi="黑体" w:eastAsia="黑体" w:cs="黑体"/>
              <w:snapToGrid w:val="0"/>
              <w:spacing w:val="-6"/>
              <w:kern w:val="0"/>
              <w:szCs w:val="21"/>
              <w:lang w:val="en-US" w:eastAsia="zh-CN"/>
            </w:rPr>
            <w:t>4</w:t>
          </w:r>
          <w:r>
            <w:rPr>
              <w:rFonts w:hint="eastAsia" w:ascii="黑体" w:hAnsi="黑体" w:eastAsia="黑体" w:cs="黑体"/>
              <w:snapToGrid w:val="0"/>
              <w:spacing w:val="-6"/>
              <w:kern w:val="0"/>
              <w:szCs w:val="21"/>
            </w:rPr>
            <w:t xml:space="preserve"> </w:t>
          </w:r>
          <w:r>
            <w:rPr>
              <w:rFonts w:hint="eastAsia" w:ascii="黑体" w:hAnsi="黑体" w:eastAsia="黑体" w:cs="黑体"/>
              <w:snapToGrid w:val="0"/>
              <w:spacing w:val="-6"/>
              <w:kern w:val="0"/>
              <w:szCs w:val="21"/>
              <w:lang w:val="en-US" w:eastAsia="zh-CN"/>
            </w:rPr>
            <w:t xml:space="preserve"> 设备</w:t>
          </w:r>
          <w:r>
            <w:rPr>
              <w:rFonts w:hint="eastAsia" w:ascii="黑体" w:hAnsi="黑体" w:eastAsia="黑体" w:cs="黑体"/>
              <w:snapToGrid w:val="0"/>
              <w:spacing w:val="-6"/>
              <w:kern w:val="0"/>
              <w:szCs w:val="21"/>
            </w:rPr>
            <w:t>要求</w:t>
          </w:r>
          <w:r>
            <w:tab/>
          </w:r>
          <w:r>
            <w:fldChar w:fldCharType="begin"/>
          </w:r>
          <w:r>
            <w:instrText xml:space="preserve"> PAGEREF _Toc27070 \h </w:instrText>
          </w:r>
          <w:r>
            <w:fldChar w:fldCharType="separate"/>
          </w:r>
          <w:r>
            <w:t>5</w:t>
          </w:r>
          <w:r>
            <w:fldChar w:fldCharType="end"/>
          </w:r>
          <w:r>
            <w:fldChar w:fldCharType="end"/>
          </w:r>
        </w:p>
        <w:p>
          <w:pPr>
            <w:pStyle w:val="5"/>
            <w:tabs>
              <w:tab w:val="right" w:leader="dot" w:pos="9392"/>
            </w:tabs>
          </w:pPr>
          <w:r>
            <w:fldChar w:fldCharType="begin"/>
          </w:r>
          <w:r>
            <w:instrText xml:space="preserve"> HYPERLINK \l _Toc1611 </w:instrText>
          </w:r>
          <w:r>
            <w:fldChar w:fldCharType="separate"/>
          </w:r>
          <w:r>
            <w:rPr>
              <w:rFonts w:hint="eastAsia" w:ascii="黑体" w:hAnsi="黑体" w:eastAsia="黑体" w:cs="黑体"/>
              <w:snapToGrid w:val="0"/>
              <w:spacing w:val="-6"/>
              <w:kern w:val="0"/>
              <w:szCs w:val="21"/>
              <w:lang w:val="en-US" w:eastAsia="zh-CN"/>
            </w:rPr>
            <w:t>4.1 综合要求</w:t>
          </w:r>
          <w:r>
            <w:tab/>
          </w:r>
          <w:r>
            <w:fldChar w:fldCharType="begin"/>
          </w:r>
          <w:r>
            <w:instrText xml:space="preserve"> PAGEREF _Toc1611 \h </w:instrText>
          </w:r>
          <w:r>
            <w:fldChar w:fldCharType="separate"/>
          </w:r>
          <w:r>
            <w:t>5</w:t>
          </w:r>
          <w:r>
            <w:fldChar w:fldCharType="end"/>
          </w:r>
          <w:r>
            <w:fldChar w:fldCharType="end"/>
          </w:r>
        </w:p>
        <w:p>
          <w:pPr>
            <w:pStyle w:val="5"/>
            <w:tabs>
              <w:tab w:val="right" w:leader="dot" w:pos="9392"/>
            </w:tabs>
          </w:pPr>
          <w:r>
            <w:fldChar w:fldCharType="begin"/>
          </w:r>
          <w:r>
            <w:instrText xml:space="preserve"> HYPERLINK \l _Toc19464 </w:instrText>
          </w:r>
          <w:r>
            <w:fldChar w:fldCharType="separate"/>
          </w:r>
          <w:r>
            <w:rPr>
              <w:rFonts w:hint="eastAsia" w:ascii="黑体" w:hAnsi="黑体" w:eastAsia="黑体" w:cs="黑体"/>
              <w:snapToGrid w:val="0"/>
              <w:spacing w:val="-6"/>
              <w:kern w:val="0"/>
              <w:szCs w:val="21"/>
              <w:lang w:val="en-US" w:eastAsia="zh-CN"/>
            </w:rPr>
            <w:t>4.2</w:t>
          </w:r>
          <w:r>
            <w:rPr>
              <w:rFonts w:hint="eastAsia" w:ascii="宋体" w:hAnsi="宋体" w:eastAsia="宋体" w:cs="宋体"/>
              <w:snapToGrid w:val="0"/>
              <w:spacing w:val="-6"/>
              <w:kern w:val="0"/>
              <w:szCs w:val="21"/>
              <w:lang w:val="en-US" w:eastAsia="zh-CN"/>
            </w:rPr>
            <w:t xml:space="preserve">  无负压设备要求</w:t>
          </w:r>
          <w:r>
            <w:tab/>
          </w:r>
          <w:r>
            <w:fldChar w:fldCharType="begin"/>
          </w:r>
          <w:r>
            <w:instrText xml:space="preserve"> PAGEREF _Toc19464 \h </w:instrText>
          </w:r>
          <w:r>
            <w:fldChar w:fldCharType="separate"/>
          </w:r>
          <w:r>
            <w:t>6</w:t>
          </w:r>
          <w:r>
            <w:fldChar w:fldCharType="end"/>
          </w:r>
          <w:r>
            <w:fldChar w:fldCharType="end"/>
          </w:r>
        </w:p>
        <w:p>
          <w:pPr>
            <w:pStyle w:val="5"/>
            <w:tabs>
              <w:tab w:val="right" w:leader="dot" w:pos="9392"/>
            </w:tabs>
          </w:pPr>
          <w:r>
            <w:fldChar w:fldCharType="begin"/>
          </w:r>
          <w:r>
            <w:instrText xml:space="preserve"> HYPERLINK \l _Toc10513 </w:instrText>
          </w:r>
          <w:r>
            <w:fldChar w:fldCharType="separate"/>
          </w:r>
          <w:r>
            <w:rPr>
              <w:rFonts w:hint="eastAsia" w:ascii="黑体" w:hAnsi="黑体" w:eastAsia="黑体" w:cs="黑体"/>
              <w:snapToGrid w:val="0"/>
              <w:spacing w:val="-6"/>
              <w:kern w:val="0"/>
              <w:szCs w:val="21"/>
              <w:lang w:val="en-US" w:eastAsia="zh-CN"/>
            </w:rPr>
            <w:t xml:space="preserve">4.3  </w:t>
          </w:r>
          <w:r>
            <w:rPr>
              <w:rFonts w:hint="eastAsia" w:ascii="宋体" w:hAnsi="宋体" w:eastAsia="宋体" w:cs="宋体"/>
              <w:snapToGrid w:val="0"/>
              <w:spacing w:val="-6"/>
              <w:kern w:val="0"/>
              <w:szCs w:val="21"/>
              <w:lang w:val="en-US" w:eastAsia="zh-CN"/>
            </w:rPr>
            <w:t>箱式无负压设备要求</w:t>
          </w:r>
          <w:r>
            <w:tab/>
          </w:r>
          <w:r>
            <w:fldChar w:fldCharType="begin"/>
          </w:r>
          <w:r>
            <w:instrText xml:space="preserve"> PAGEREF _Toc10513 \h </w:instrText>
          </w:r>
          <w:r>
            <w:fldChar w:fldCharType="separate"/>
          </w:r>
          <w:r>
            <w:t>6</w:t>
          </w:r>
          <w:r>
            <w:fldChar w:fldCharType="end"/>
          </w:r>
          <w:r>
            <w:fldChar w:fldCharType="end"/>
          </w:r>
        </w:p>
        <w:p>
          <w:pPr>
            <w:pStyle w:val="5"/>
            <w:tabs>
              <w:tab w:val="right" w:leader="dot" w:pos="9392"/>
            </w:tabs>
          </w:pPr>
          <w:r>
            <w:fldChar w:fldCharType="begin"/>
          </w:r>
          <w:r>
            <w:instrText xml:space="preserve"> HYPERLINK \l _Toc17894 </w:instrText>
          </w:r>
          <w:r>
            <w:fldChar w:fldCharType="separate"/>
          </w:r>
          <w:r>
            <w:rPr>
              <w:rFonts w:hint="eastAsia" w:ascii="黑体" w:hAnsi="黑体" w:eastAsia="黑体" w:cs="黑体"/>
              <w:snapToGrid w:val="0"/>
              <w:spacing w:val="-6"/>
              <w:kern w:val="0"/>
              <w:szCs w:val="21"/>
              <w:lang w:val="en-US" w:eastAsia="zh-CN"/>
            </w:rPr>
            <w:t>4.4  管道及附属设施</w:t>
          </w:r>
          <w:r>
            <w:tab/>
          </w:r>
          <w:r>
            <w:fldChar w:fldCharType="begin"/>
          </w:r>
          <w:r>
            <w:instrText xml:space="preserve"> PAGEREF _Toc17894 \h </w:instrText>
          </w:r>
          <w:r>
            <w:fldChar w:fldCharType="separate"/>
          </w:r>
          <w:r>
            <w:t>7</w:t>
          </w:r>
          <w:r>
            <w:fldChar w:fldCharType="end"/>
          </w:r>
          <w:r>
            <w:fldChar w:fldCharType="end"/>
          </w:r>
        </w:p>
        <w:p>
          <w:pPr>
            <w:pStyle w:val="5"/>
            <w:tabs>
              <w:tab w:val="right" w:leader="dot" w:pos="9392"/>
            </w:tabs>
          </w:pPr>
          <w:r>
            <w:fldChar w:fldCharType="begin"/>
          </w:r>
          <w:r>
            <w:instrText xml:space="preserve"> HYPERLINK \l _Toc22409 </w:instrText>
          </w:r>
          <w:r>
            <w:fldChar w:fldCharType="separate"/>
          </w:r>
          <w:r>
            <w:rPr>
              <w:rFonts w:hint="eastAsia" w:ascii="黑体" w:hAnsi="黑体" w:eastAsia="黑体" w:cs="黑体"/>
              <w:snapToGrid w:val="0"/>
              <w:spacing w:val="-6"/>
              <w:kern w:val="0"/>
              <w:szCs w:val="21"/>
              <w:lang w:val="en-US" w:eastAsia="zh-CN"/>
            </w:rPr>
            <w:t>4.5  超高层二次供水技术要求</w:t>
          </w:r>
          <w:r>
            <w:tab/>
          </w:r>
          <w:r>
            <w:fldChar w:fldCharType="begin"/>
          </w:r>
          <w:r>
            <w:instrText xml:space="preserve"> PAGEREF _Toc22409 \h </w:instrText>
          </w:r>
          <w:r>
            <w:fldChar w:fldCharType="separate"/>
          </w:r>
          <w:r>
            <w:t>8</w:t>
          </w:r>
          <w:r>
            <w:fldChar w:fldCharType="end"/>
          </w:r>
          <w:r>
            <w:fldChar w:fldCharType="end"/>
          </w:r>
        </w:p>
        <w:p>
          <w:pPr>
            <w:pStyle w:val="4"/>
            <w:tabs>
              <w:tab w:val="right" w:leader="dot" w:pos="9392"/>
            </w:tabs>
          </w:pPr>
          <w:r>
            <w:fldChar w:fldCharType="begin"/>
          </w:r>
          <w:r>
            <w:instrText xml:space="preserve"> HYPERLINK \l _Toc7793 </w:instrText>
          </w:r>
          <w:r>
            <w:fldChar w:fldCharType="separate"/>
          </w:r>
          <w:r>
            <w:rPr>
              <w:rFonts w:hint="eastAsia" w:ascii="黑体" w:hAnsi="黑体" w:eastAsia="黑体" w:cs="黑体"/>
              <w:snapToGrid w:val="0"/>
              <w:spacing w:val="-6"/>
              <w:kern w:val="0"/>
              <w:szCs w:val="21"/>
              <w:lang w:val="en-US" w:eastAsia="zh-CN"/>
            </w:rPr>
            <w:t>5  环境与安全</w:t>
          </w:r>
          <w:r>
            <w:tab/>
          </w:r>
          <w:r>
            <w:fldChar w:fldCharType="begin"/>
          </w:r>
          <w:r>
            <w:instrText xml:space="preserve"> PAGEREF _Toc7793 \h </w:instrText>
          </w:r>
          <w:r>
            <w:fldChar w:fldCharType="separate"/>
          </w:r>
          <w:r>
            <w:t>9</w:t>
          </w:r>
          <w:r>
            <w:fldChar w:fldCharType="end"/>
          </w:r>
          <w:r>
            <w:fldChar w:fldCharType="end"/>
          </w:r>
        </w:p>
        <w:p>
          <w:pPr>
            <w:pStyle w:val="5"/>
            <w:tabs>
              <w:tab w:val="right" w:leader="dot" w:pos="9392"/>
            </w:tabs>
          </w:pPr>
          <w:r>
            <w:fldChar w:fldCharType="begin"/>
          </w:r>
          <w:r>
            <w:instrText xml:space="preserve"> HYPERLINK \l _Toc31153 </w:instrText>
          </w:r>
          <w:r>
            <w:fldChar w:fldCharType="separate"/>
          </w:r>
          <w:r>
            <w:rPr>
              <w:rFonts w:hint="eastAsia" w:ascii="黑体" w:hAnsi="黑体" w:eastAsia="黑体" w:cs="黑体"/>
              <w:snapToGrid w:val="0"/>
              <w:spacing w:val="-6"/>
              <w:kern w:val="0"/>
              <w:szCs w:val="21"/>
              <w:lang w:val="en-US" w:eastAsia="zh-CN"/>
            </w:rPr>
            <w:t>5.1  泵房设计要求</w:t>
          </w:r>
          <w:r>
            <w:tab/>
          </w:r>
          <w:r>
            <w:fldChar w:fldCharType="begin"/>
          </w:r>
          <w:r>
            <w:instrText xml:space="preserve"> PAGEREF _Toc31153 \h </w:instrText>
          </w:r>
          <w:r>
            <w:fldChar w:fldCharType="separate"/>
          </w:r>
          <w:r>
            <w:t>9</w:t>
          </w:r>
          <w:r>
            <w:fldChar w:fldCharType="end"/>
          </w:r>
          <w:r>
            <w:fldChar w:fldCharType="end"/>
          </w:r>
        </w:p>
        <w:p>
          <w:pPr>
            <w:pStyle w:val="5"/>
            <w:tabs>
              <w:tab w:val="right" w:leader="dot" w:pos="9392"/>
            </w:tabs>
          </w:pPr>
          <w:r>
            <w:fldChar w:fldCharType="begin"/>
          </w:r>
          <w:r>
            <w:instrText xml:space="preserve"> HYPERLINK \l _Toc11700 </w:instrText>
          </w:r>
          <w:r>
            <w:fldChar w:fldCharType="separate"/>
          </w:r>
          <w:r>
            <w:rPr>
              <w:rFonts w:hint="eastAsia" w:ascii="黑体" w:hAnsi="黑体" w:eastAsia="黑体" w:cs="黑体"/>
              <w:snapToGrid w:val="0"/>
              <w:spacing w:val="-6"/>
              <w:kern w:val="0"/>
              <w:szCs w:val="21"/>
              <w:lang w:val="en-US" w:eastAsia="zh-CN"/>
            </w:rPr>
            <w:t>5.2  设施维护</w:t>
          </w:r>
          <w:r>
            <w:tab/>
          </w:r>
          <w:r>
            <w:fldChar w:fldCharType="begin"/>
          </w:r>
          <w:r>
            <w:instrText xml:space="preserve"> PAGEREF _Toc11700 \h </w:instrText>
          </w:r>
          <w:r>
            <w:fldChar w:fldCharType="separate"/>
          </w:r>
          <w:r>
            <w:t>9</w:t>
          </w:r>
          <w:r>
            <w:fldChar w:fldCharType="end"/>
          </w:r>
          <w:r>
            <w:fldChar w:fldCharType="end"/>
          </w:r>
        </w:p>
        <w:p>
          <w:pPr>
            <w:pStyle w:val="5"/>
            <w:tabs>
              <w:tab w:val="right" w:leader="dot" w:pos="9392"/>
            </w:tabs>
          </w:pPr>
          <w:r>
            <w:fldChar w:fldCharType="begin"/>
          </w:r>
          <w:r>
            <w:instrText xml:space="preserve"> HYPERLINK \l _Toc32596 </w:instrText>
          </w:r>
          <w:r>
            <w:fldChar w:fldCharType="separate"/>
          </w:r>
          <w:r>
            <w:rPr>
              <w:rFonts w:hint="eastAsia" w:ascii="黑体" w:hAnsi="黑体" w:eastAsia="黑体" w:cs="黑体"/>
              <w:snapToGrid w:val="0"/>
              <w:spacing w:val="-6"/>
              <w:kern w:val="0"/>
              <w:szCs w:val="21"/>
              <w:lang w:val="en-US" w:eastAsia="zh-CN"/>
            </w:rPr>
            <w:t>5.3  安全运行管理</w:t>
          </w:r>
          <w:r>
            <w:tab/>
          </w:r>
          <w:r>
            <w:fldChar w:fldCharType="begin"/>
          </w:r>
          <w:r>
            <w:instrText xml:space="preserve"> PAGEREF _Toc32596 \h </w:instrText>
          </w:r>
          <w:r>
            <w:fldChar w:fldCharType="separate"/>
          </w:r>
          <w:r>
            <w:t>10</w:t>
          </w:r>
          <w:r>
            <w:fldChar w:fldCharType="end"/>
          </w:r>
          <w:r>
            <w:fldChar w:fldCharType="end"/>
          </w:r>
        </w:p>
        <w:p>
          <w:pPr>
            <w:pStyle w:val="5"/>
            <w:tabs>
              <w:tab w:val="right" w:leader="dot" w:pos="9392"/>
            </w:tabs>
          </w:pPr>
          <w:r>
            <w:fldChar w:fldCharType="begin"/>
          </w:r>
          <w:r>
            <w:instrText xml:space="preserve"> HYPERLINK \l _Toc17582 </w:instrText>
          </w:r>
          <w:r>
            <w:fldChar w:fldCharType="separate"/>
          </w:r>
          <w:r>
            <w:rPr>
              <w:rFonts w:hint="eastAsia" w:ascii="黑体" w:hAnsi="黑体" w:eastAsia="黑体" w:cs="黑体"/>
              <w:snapToGrid w:val="0"/>
              <w:spacing w:val="-6"/>
              <w:kern w:val="0"/>
              <w:szCs w:val="21"/>
              <w:lang w:val="en-US" w:eastAsia="zh-CN"/>
            </w:rPr>
            <w:t xml:space="preserve">5.4  </w:t>
          </w:r>
          <w:r>
            <w:rPr>
              <w:rFonts w:hint="eastAsia" w:ascii="宋体" w:hAnsi="宋体" w:eastAsia="宋体" w:cs="宋体"/>
              <w:snapToGrid w:val="0"/>
              <w:spacing w:val="-6"/>
              <w:kern w:val="0"/>
              <w:szCs w:val="21"/>
              <w:lang w:val="en-US" w:eastAsia="zh-CN"/>
            </w:rPr>
            <w:t>设施、设备大修</w:t>
          </w:r>
          <w:r>
            <w:tab/>
          </w:r>
          <w:r>
            <w:fldChar w:fldCharType="begin"/>
          </w:r>
          <w:r>
            <w:instrText xml:space="preserve"> PAGEREF _Toc17582 \h </w:instrText>
          </w:r>
          <w:r>
            <w:fldChar w:fldCharType="separate"/>
          </w:r>
          <w:r>
            <w:t>10</w:t>
          </w:r>
          <w:r>
            <w:fldChar w:fldCharType="end"/>
          </w:r>
          <w:r>
            <w:fldChar w:fldCharType="end"/>
          </w:r>
        </w:p>
        <w:p>
          <w:pPr>
            <w:pStyle w:val="4"/>
            <w:tabs>
              <w:tab w:val="right" w:leader="dot" w:pos="9392"/>
            </w:tabs>
          </w:pPr>
          <w:r>
            <w:fldChar w:fldCharType="begin"/>
          </w:r>
          <w:r>
            <w:instrText xml:space="preserve"> HYPERLINK \l _Toc31839 </w:instrText>
          </w:r>
          <w:r>
            <w:fldChar w:fldCharType="separate"/>
          </w:r>
          <w:r>
            <w:rPr>
              <w:rFonts w:hint="eastAsia" w:ascii="黑体" w:hAnsi="黑体" w:eastAsia="黑体" w:cs="黑体"/>
              <w:snapToGrid w:val="0"/>
              <w:spacing w:val="-6"/>
              <w:kern w:val="0"/>
              <w:szCs w:val="21"/>
              <w:lang w:val="en-US" w:eastAsia="zh-CN"/>
            </w:rPr>
            <w:t>6  系统和自控</w:t>
          </w:r>
          <w:r>
            <w:tab/>
          </w:r>
          <w:r>
            <w:fldChar w:fldCharType="begin"/>
          </w:r>
          <w:r>
            <w:instrText xml:space="preserve"> PAGEREF _Toc31839 \h </w:instrText>
          </w:r>
          <w:r>
            <w:fldChar w:fldCharType="separate"/>
          </w:r>
          <w:r>
            <w:t>10</w:t>
          </w:r>
          <w:r>
            <w:fldChar w:fldCharType="end"/>
          </w:r>
          <w:r>
            <w:fldChar w:fldCharType="end"/>
          </w:r>
        </w:p>
        <w:p>
          <w:pPr>
            <w:pStyle w:val="4"/>
            <w:tabs>
              <w:tab w:val="right" w:leader="dot" w:pos="9392"/>
            </w:tabs>
          </w:pPr>
          <w:r>
            <w:fldChar w:fldCharType="begin"/>
          </w:r>
          <w:r>
            <w:instrText xml:space="preserve"> HYPERLINK \l _Toc23230 </w:instrText>
          </w:r>
          <w:r>
            <w:fldChar w:fldCharType="separate"/>
          </w:r>
          <w:r>
            <w:rPr>
              <w:rFonts w:hint="eastAsia" w:ascii="黑体" w:hAnsi="黑体" w:eastAsia="黑体" w:cs="黑体"/>
              <w:snapToGrid w:val="0"/>
              <w:spacing w:val="-6"/>
              <w:kern w:val="0"/>
              <w:szCs w:val="21"/>
              <w:lang w:val="en-US" w:eastAsia="zh-CN"/>
            </w:rPr>
            <w:t>7  监理、施工、调试和验收</w:t>
          </w:r>
          <w:r>
            <w:tab/>
          </w:r>
          <w:r>
            <w:fldChar w:fldCharType="begin"/>
          </w:r>
          <w:r>
            <w:instrText xml:space="preserve"> PAGEREF _Toc23230 \h </w:instrText>
          </w:r>
          <w:r>
            <w:fldChar w:fldCharType="separate"/>
          </w:r>
          <w:r>
            <w:t>11</w:t>
          </w:r>
          <w:r>
            <w:fldChar w:fldCharType="end"/>
          </w:r>
          <w:r>
            <w:fldChar w:fldCharType="end"/>
          </w:r>
        </w:p>
        <w:p>
          <w:pPr>
            <w:pStyle w:val="5"/>
            <w:tabs>
              <w:tab w:val="right" w:leader="dot" w:pos="9392"/>
            </w:tabs>
          </w:pPr>
          <w:r>
            <w:fldChar w:fldCharType="begin"/>
          </w:r>
          <w:r>
            <w:instrText xml:space="preserve"> HYPERLINK \l _Toc6459 </w:instrText>
          </w:r>
          <w:r>
            <w:fldChar w:fldCharType="separate"/>
          </w:r>
          <w:r>
            <w:rPr>
              <w:rFonts w:hint="eastAsia" w:ascii="黑体" w:hAnsi="黑体" w:eastAsia="黑体" w:cs="黑体"/>
              <w:snapToGrid w:val="0"/>
              <w:spacing w:val="-6"/>
              <w:kern w:val="0"/>
              <w:szCs w:val="21"/>
              <w:lang w:val="en-US" w:eastAsia="zh-CN"/>
            </w:rPr>
            <w:t>7.1  施工、监理单位要求</w:t>
          </w:r>
          <w:r>
            <w:tab/>
          </w:r>
          <w:r>
            <w:fldChar w:fldCharType="begin"/>
          </w:r>
          <w:r>
            <w:instrText xml:space="preserve"> PAGEREF _Toc6459 \h </w:instrText>
          </w:r>
          <w:r>
            <w:fldChar w:fldCharType="separate"/>
          </w:r>
          <w:r>
            <w:t>11</w:t>
          </w:r>
          <w:r>
            <w:fldChar w:fldCharType="end"/>
          </w:r>
          <w:r>
            <w:fldChar w:fldCharType="end"/>
          </w:r>
        </w:p>
        <w:p>
          <w:pPr>
            <w:pStyle w:val="5"/>
            <w:tabs>
              <w:tab w:val="right" w:leader="dot" w:pos="9392"/>
            </w:tabs>
          </w:pPr>
          <w:r>
            <w:fldChar w:fldCharType="begin"/>
          </w:r>
          <w:r>
            <w:instrText xml:space="preserve"> HYPERLINK \l _Toc21283 </w:instrText>
          </w:r>
          <w:r>
            <w:fldChar w:fldCharType="separate"/>
          </w:r>
          <w:r>
            <w:rPr>
              <w:rFonts w:hint="eastAsia" w:ascii="黑体" w:hAnsi="黑体" w:eastAsia="黑体" w:cs="黑体"/>
              <w:snapToGrid w:val="0"/>
              <w:spacing w:val="-6"/>
              <w:kern w:val="0"/>
              <w:szCs w:val="21"/>
              <w:lang w:val="en-US" w:eastAsia="zh-CN"/>
            </w:rPr>
            <w:t>7.2  供水设备安装</w:t>
          </w:r>
          <w:r>
            <w:tab/>
          </w:r>
          <w:r>
            <w:fldChar w:fldCharType="begin"/>
          </w:r>
          <w:r>
            <w:instrText xml:space="preserve"> PAGEREF _Toc21283 \h </w:instrText>
          </w:r>
          <w:r>
            <w:fldChar w:fldCharType="separate"/>
          </w:r>
          <w:r>
            <w:t>11</w:t>
          </w:r>
          <w:r>
            <w:fldChar w:fldCharType="end"/>
          </w:r>
          <w:r>
            <w:fldChar w:fldCharType="end"/>
          </w:r>
        </w:p>
        <w:p>
          <w:pPr>
            <w:pStyle w:val="5"/>
            <w:tabs>
              <w:tab w:val="right" w:leader="dot" w:pos="9392"/>
            </w:tabs>
          </w:pPr>
          <w:r>
            <w:fldChar w:fldCharType="begin"/>
          </w:r>
          <w:r>
            <w:instrText xml:space="preserve"> HYPERLINK \l _Toc32445 </w:instrText>
          </w:r>
          <w:r>
            <w:fldChar w:fldCharType="separate"/>
          </w:r>
          <w:r>
            <w:rPr>
              <w:rFonts w:hint="eastAsia" w:ascii="黑体" w:hAnsi="黑体" w:eastAsia="黑体" w:cs="黑体"/>
              <w:snapToGrid w:val="0"/>
              <w:spacing w:val="-6"/>
              <w:kern w:val="0"/>
              <w:szCs w:val="21"/>
              <w:lang w:val="en-US" w:eastAsia="zh-CN"/>
            </w:rPr>
            <w:t>7.3  管道施工</w:t>
          </w:r>
          <w:r>
            <w:tab/>
          </w:r>
          <w:r>
            <w:fldChar w:fldCharType="begin"/>
          </w:r>
          <w:r>
            <w:instrText xml:space="preserve"> PAGEREF _Toc32445 \h </w:instrText>
          </w:r>
          <w:r>
            <w:fldChar w:fldCharType="separate"/>
          </w:r>
          <w:r>
            <w:t>11</w:t>
          </w:r>
          <w:r>
            <w:fldChar w:fldCharType="end"/>
          </w:r>
          <w:r>
            <w:fldChar w:fldCharType="end"/>
          </w:r>
        </w:p>
        <w:p>
          <w:pPr>
            <w:pStyle w:val="5"/>
            <w:tabs>
              <w:tab w:val="right" w:leader="dot" w:pos="9392"/>
            </w:tabs>
          </w:pPr>
          <w:r>
            <w:fldChar w:fldCharType="begin"/>
          </w:r>
          <w:r>
            <w:instrText xml:space="preserve"> HYPERLINK \l _Toc941 </w:instrText>
          </w:r>
          <w:r>
            <w:fldChar w:fldCharType="separate"/>
          </w:r>
          <w:r>
            <w:rPr>
              <w:rFonts w:hint="eastAsia" w:ascii="黑体" w:hAnsi="黑体" w:eastAsia="黑体" w:cs="黑体"/>
              <w:snapToGrid w:val="0"/>
              <w:spacing w:val="-6"/>
              <w:kern w:val="0"/>
              <w:szCs w:val="21"/>
              <w:lang w:val="en-US" w:eastAsia="zh-CN"/>
            </w:rPr>
            <w:t>7.4  调试</w:t>
          </w:r>
          <w:r>
            <w:tab/>
          </w:r>
          <w:r>
            <w:fldChar w:fldCharType="begin"/>
          </w:r>
          <w:r>
            <w:instrText xml:space="preserve"> PAGEREF _Toc941 \h </w:instrText>
          </w:r>
          <w:r>
            <w:fldChar w:fldCharType="separate"/>
          </w:r>
          <w:r>
            <w:t>11</w:t>
          </w:r>
          <w:r>
            <w:fldChar w:fldCharType="end"/>
          </w:r>
          <w:r>
            <w:fldChar w:fldCharType="end"/>
          </w:r>
        </w:p>
        <w:p>
          <w:pPr>
            <w:pStyle w:val="5"/>
            <w:tabs>
              <w:tab w:val="right" w:leader="dot" w:pos="9392"/>
            </w:tabs>
          </w:pPr>
          <w:r>
            <w:fldChar w:fldCharType="begin"/>
          </w:r>
          <w:r>
            <w:instrText xml:space="preserve"> HYPERLINK \l _Toc25239 </w:instrText>
          </w:r>
          <w:r>
            <w:fldChar w:fldCharType="separate"/>
          </w:r>
          <w:r>
            <w:rPr>
              <w:rFonts w:hint="eastAsia" w:ascii="黑体" w:hAnsi="黑体" w:eastAsia="黑体" w:cs="黑体"/>
              <w:snapToGrid w:val="0"/>
              <w:spacing w:val="-6"/>
              <w:kern w:val="0"/>
              <w:szCs w:val="21"/>
              <w:lang w:val="en-US" w:eastAsia="zh-CN"/>
            </w:rPr>
            <w:t>7.5  验收 （后附表格）</w:t>
          </w:r>
          <w:r>
            <w:tab/>
          </w:r>
          <w:r>
            <w:fldChar w:fldCharType="begin"/>
          </w:r>
          <w:r>
            <w:instrText xml:space="preserve"> PAGEREF _Toc25239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_Toc11737 </w:instrText>
          </w:r>
          <w:r>
            <w:fldChar w:fldCharType="separate"/>
          </w:r>
          <w:r>
            <w:rPr>
              <w:rFonts w:hint="eastAsia" w:ascii="黑体" w:hAnsi="黑体" w:eastAsia="黑体" w:cs="黑体"/>
              <w:snapToGrid w:val="0"/>
              <w:spacing w:val="-6"/>
              <w:kern w:val="0"/>
              <w:szCs w:val="21"/>
              <w:lang w:val="en-US" w:eastAsia="zh-CN"/>
            </w:rPr>
            <w:t>8  附则</w:t>
          </w:r>
          <w:r>
            <w:tab/>
          </w:r>
          <w:r>
            <w:fldChar w:fldCharType="begin"/>
          </w:r>
          <w:r>
            <w:instrText xml:space="preserve"> PAGEREF _Toc11737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_Toc16513 </w:instrText>
          </w:r>
          <w:r>
            <w:fldChar w:fldCharType="separate"/>
          </w:r>
          <w:r>
            <w:rPr>
              <w:rFonts w:hint="eastAsia" w:ascii="黑体" w:hAnsi="黑体" w:eastAsia="黑体" w:cs="黑体"/>
              <w:snapToGrid w:val="0"/>
              <w:spacing w:val="-6"/>
              <w:kern w:val="0"/>
              <w:szCs w:val="21"/>
              <w:lang w:val="en-US" w:eastAsia="zh-CN"/>
            </w:rPr>
            <w:t>8.1.1</w:t>
          </w:r>
          <w:r>
            <w:rPr>
              <w:rFonts w:hint="default" w:ascii="宋体" w:hAnsi="宋体" w:eastAsia="宋体" w:cs="宋体"/>
              <w:snapToGrid w:val="0"/>
              <w:spacing w:val="-6"/>
              <w:kern w:val="0"/>
              <w:szCs w:val="21"/>
              <w:lang w:val="en-US" w:eastAsia="zh-CN"/>
            </w:rPr>
            <w:t xml:space="preserve"> </w:t>
          </w:r>
          <w:r>
            <w:rPr>
              <w:rFonts w:hint="eastAsia" w:ascii="宋体" w:hAnsi="宋体" w:eastAsia="宋体" w:cs="宋体"/>
              <w:snapToGrid w:val="0"/>
              <w:spacing w:val="-6"/>
              <w:kern w:val="0"/>
              <w:szCs w:val="21"/>
              <w:lang w:val="en-US" w:eastAsia="zh-CN"/>
            </w:rPr>
            <w:t xml:space="preserve"> </w:t>
          </w:r>
          <w:r>
            <w:rPr>
              <w:rFonts w:hint="default" w:ascii="宋体" w:hAnsi="宋体" w:eastAsia="宋体" w:cs="宋体"/>
              <w:snapToGrid w:val="0"/>
              <w:spacing w:val="-6"/>
              <w:kern w:val="0"/>
              <w:szCs w:val="21"/>
              <w:lang w:val="en-US" w:eastAsia="zh-CN"/>
            </w:rPr>
            <w:t>表示很严格，非这样做不可的用词：</w:t>
          </w:r>
          <w:r>
            <w:tab/>
          </w:r>
          <w:r>
            <w:fldChar w:fldCharType="begin"/>
          </w:r>
          <w:r>
            <w:instrText xml:space="preserve"> PAGEREF _Toc16513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_Toc26094 </w:instrText>
          </w:r>
          <w:r>
            <w:fldChar w:fldCharType="separate"/>
          </w:r>
          <w:r>
            <w:rPr>
              <w:rFonts w:hint="eastAsia" w:ascii="黑体" w:hAnsi="黑体" w:eastAsia="黑体" w:cs="黑体"/>
              <w:snapToGrid w:val="0"/>
              <w:spacing w:val="-6"/>
              <w:kern w:val="0"/>
              <w:szCs w:val="21"/>
              <w:lang w:val="en-US" w:eastAsia="zh-CN"/>
            </w:rPr>
            <w:t>8.1.2</w:t>
          </w:r>
          <w:r>
            <w:rPr>
              <w:rFonts w:hint="default" w:ascii="宋体" w:hAnsi="宋体" w:eastAsia="宋体" w:cs="宋体"/>
              <w:snapToGrid w:val="0"/>
              <w:spacing w:val="-6"/>
              <w:kern w:val="0"/>
              <w:szCs w:val="21"/>
              <w:lang w:val="en-US" w:eastAsia="zh-CN"/>
            </w:rPr>
            <w:t xml:space="preserve"> </w:t>
          </w:r>
          <w:r>
            <w:rPr>
              <w:rFonts w:hint="eastAsia" w:ascii="宋体" w:hAnsi="宋体" w:eastAsia="宋体" w:cs="宋体"/>
              <w:snapToGrid w:val="0"/>
              <w:spacing w:val="-6"/>
              <w:kern w:val="0"/>
              <w:szCs w:val="21"/>
              <w:lang w:val="en-US" w:eastAsia="zh-CN"/>
            </w:rPr>
            <w:t xml:space="preserve"> </w:t>
          </w:r>
          <w:r>
            <w:rPr>
              <w:rFonts w:hint="default" w:ascii="宋体" w:hAnsi="宋体" w:eastAsia="宋体" w:cs="宋体"/>
              <w:snapToGrid w:val="0"/>
              <w:spacing w:val="-6"/>
              <w:kern w:val="0"/>
              <w:szCs w:val="21"/>
              <w:lang w:val="en-US" w:eastAsia="zh-CN"/>
            </w:rPr>
            <w:t>表示严格，在正常情况下均应这样用词：</w:t>
          </w:r>
          <w:r>
            <w:tab/>
          </w:r>
          <w:r>
            <w:fldChar w:fldCharType="begin"/>
          </w:r>
          <w:r>
            <w:instrText xml:space="preserve"> PAGEREF _Toc26094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_Toc28011 </w:instrText>
          </w:r>
          <w:r>
            <w:fldChar w:fldCharType="separate"/>
          </w:r>
          <w:r>
            <w:rPr>
              <w:rFonts w:hint="eastAsia" w:ascii="黑体" w:hAnsi="黑体" w:eastAsia="黑体" w:cs="黑体"/>
              <w:snapToGrid w:val="0"/>
              <w:spacing w:val="-6"/>
              <w:kern w:val="0"/>
              <w:szCs w:val="21"/>
              <w:lang w:val="en-US" w:eastAsia="zh-CN"/>
            </w:rPr>
            <w:t>8.1.3</w:t>
          </w:r>
          <w:r>
            <w:rPr>
              <w:rFonts w:hint="default" w:ascii="宋体" w:hAnsi="宋体" w:eastAsia="宋体" w:cs="宋体"/>
              <w:snapToGrid w:val="0"/>
              <w:spacing w:val="-6"/>
              <w:kern w:val="0"/>
              <w:szCs w:val="21"/>
              <w:lang w:val="en-US" w:eastAsia="zh-CN"/>
            </w:rPr>
            <w:t xml:space="preserve"> </w:t>
          </w:r>
          <w:r>
            <w:rPr>
              <w:rFonts w:hint="eastAsia" w:ascii="宋体" w:hAnsi="宋体" w:eastAsia="宋体" w:cs="宋体"/>
              <w:snapToGrid w:val="0"/>
              <w:spacing w:val="-6"/>
              <w:kern w:val="0"/>
              <w:szCs w:val="21"/>
              <w:lang w:val="en-US" w:eastAsia="zh-CN"/>
            </w:rPr>
            <w:t xml:space="preserve"> </w:t>
          </w:r>
          <w:r>
            <w:rPr>
              <w:rFonts w:hint="default" w:ascii="宋体" w:hAnsi="宋体" w:eastAsia="宋体" w:cs="宋体"/>
              <w:snapToGrid w:val="0"/>
              <w:spacing w:val="-6"/>
              <w:kern w:val="0"/>
              <w:szCs w:val="21"/>
              <w:lang w:val="en-US" w:eastAsia="zh-CN"/>
            </w:rPr>
            <w:t>对表示容许稍有选择，在条件许可时首先应这样做用词：</w:t>
          </w:r>
          <w:r>
            <w:tab/>
          </w:r>
          <w:r>
            <w:fldChar w:fldCharType="begin"/>
          </w:r>
          <w:r>
            <w:instrText xml:space="preserve"> PAGEREF _Toc28011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_Toc32722 </w:instrText>
          </w:r>
          <w:r>
            <w:fldChar w:fldCharType="separate"/>
          </w:r>
          <w:r>
            <w:rPr>
              <w:rFonts w:hint="eastAsia" w:ascii="黑体" w:hAnsi="黑体" w:eastAsia="黑体" w:cs="黑体"/>
              <w:snapToGrid w:val="0"/>
              <w:spacing w:val="-6"/>
              <w:kern w:val="0"/>
              <w:szCs w:val="21"/>
              <w:lang w:val="en-US" w:eastAsia="zh-CN"/>
            </w:rPr>
            <w:t>8.1.4</w:t>
          </w:r>
          <w:r>
            <w:rPr>
              <w:rFonts w:hint="default" w:ascii="宋体" w:hAnsi="宋体" w:eastAsia="宋体" w:cs="宋体"/>
              <w:snapToGrid w:val="0"/>
              <w:spacing w:val="-6"/>
              <w:kern w:val="0"/>
              <w:szCs w:val="21"/>
              <w:lang w:val="en-US" w:eastAsia="zh-CN"/>
            </w:rPr>
            <w:t xml:space="preserve"> </w:t>
          </w:r>
          <w:r>
            <w:rPr>
              <w:rFonts w:hint="eastAsia" w:ascii="宋体" w:hAnsi="宋体" w:eastAsia="宋体" w:cs="宋体"/>
              <w:snapToGrid w:val="0"/>
              <w:spacing w:val="-6"/>
              <w:kern w:val="0"/>
              <w:szCs w:val="21"/>
              <w:lang w:val="en-US" w:eastAsia="zh-CN"/>
            </w:rPr>
            <w:t xml:space="preserve"> </w:t>
          </w:r>
          <w:r>
            <w:rPr>
              <w:rFonts w:hint="default" w:ascii="宋体" w:hAnsi="宋体" w:eastAsia="宋体" w:cs="宋体"/>
              <w:snapToGrid w:val="0"/>
              <w:spacing w:val="-6"/>
              <w:kern w:val="0"/>
              <w:szCs w:val="21"/>
              <w:lang w:val="en-US" w:eastAsia="zh-CN"/>
            </w:rPr>
            <w:t>表示有选择，在一定条件下可以这样做的，采用“可”。</w:t>
          </w:r>
          <w:r>
            <w:tab/>
          </w:r>
          <w:r>
            <w:fldChar w:fldCharType="begin"/>
          </w:r>
          <w:r>
            <w:instrText xml:space="preserve"> PAGEREF _Toc32722 \h </w:instrText>
          </w:r>
          <w:r>
            <w:fldChar w:fldCharType="separate"/>
          </w:r>
          <w:r>
            <w:t>12</w:t>
          </w:r>
          <w:r>
            <w:fldChar w:fldCharType="end"/>
          </w:r>
          <w:r>
            <w:fldChar w:fldCharType="end"/>
          </w:r>
        </w:p>
        <w:p>
          <w:pPr>
            <w:pStyle w:val="4"/>
            <w:tabs>
              <w:tab w:val="right" w:leader="dot" w:pos="9392"/>
            </w:tabs>
          </w:pPr>
          <w:r>
            <w:fldChar w:fldCharType="begin"/>
          </w:r>
          <w:r>
            <w:instrText xml:space="preserve"> HYPERLINK \l _Toc23928 </w:instrText>
          </w:r>
          <w:r>
            <w:fldChar w:fldCharType="separate"/>
          </w:r>
          <w:r>
            <w:rPr>
              <w:rFonts w:hint="eastAsia" w:ascii="宋体" w:hAnsi="宋体" w:eastAsia="宋体" w:cs="宋体"/>
              <w:snapToGrid w:val="0"/>
              <w:spacing w:val="-6"/>
              <w:kern w:val="0"/>
              <w:szCs w:val="21"/>
              <w:lang w:val="en-US" w:eastAsia="zh-CN"/>
            </w:rPr>
            <w:t>附件  二次供水标准化泵房验收表</w:t>
          </w:r>
          <w:r>
            <w:tab/>
          </w:r>
          <w:r>
            <w:fldChar w:fldCharType="begin"/>
          </w:r>
          <w:r>
            <w:instrText xml:space="preserve"> PAGEREF _Toc23928 \h </w:instrText>
          </w:r>
          <w:r>
            <w:fldChar w:fldCharType="separate"/>
          </w:r>
          <w:r>
            <w:t>12</w:t>
          </w:r>
          <w:r>
            <w:fldChar w:fldCharType="end"/>
          </w:r>
          <w:r>
            <w:fldChar w:fldCharType="end"/>
          </w:r>
        </w:p>
        <w:p>
          <w:r>
            <w:fldChar w:fldCharType="end"/>
          </w:r>
        </w:p>
      </w:sdtContent>
    </w:sdt>
    <w:p>
      <w:pPr>
        <w:spacing w:before="148" w:line="180" w:lineRule="auto"/>
        <w:ind w:firstLine="9047"/>
        <w:outlineLvl w:val="0"/>
        <w:rPr>
          <w:rFonts w:ascii="宋体" w:hAnsi="宋体" w:eastAsia="宋体" w:cs="宋体"/>
          <w:sz w:val="18"/>
          <w:szCs w:val="18"/>
        </w:rPr>
      </w:pPr>
      <w:bookmarkStart w:id="0" w:name="_Toc10997"/>
      <w:r>
        <w:rPr>
          <w:rFonts w:ascii="宋体" w:hAnsi="宋体" w:eastAsia="宋体" w:cs="宋体"/>
          <w:sz w:val="18"/>
          <w:szCs w:val="18"/>
        </w:rPr>
        <w:t>I</w:t>
      </w:r>
      <w:bookmarkEnd w:id="0"/>
    </w:p>
    <w:p>
      <w:pPr>
        <w:sectPr>
          <w:pgSz w:w="11907" w:h="16839"/>
          <w:pgMar w:top="1405" w:right="1089" w:bottom="0" w:left="1426" w:header="0" w:footer="0" w:gutter="0"/>
          <w:pgNumType w:fmt="decimal"/>
          <w:cols w:space="720" w:num="1"/>
        </w:sectPr>
      </w:pPr>
    </w:p>
    <w:p>
      <w:pPr>
        <w:spacing w:before="41" w:line="186" w:lineRule="auto"/>
        <w:ind w:firstLine="7659"/>
        <w:rPr>
          <w:rFonts w:ascii="黑体" w:hAnsi="黑体" w:eastAsia="黑体" w:cs="黑体"/>
          <w:sz w:val="21"/>
          <w:szCs w:val="21"/>
        </w:rPr>
      </w:pPr>
      <w:r>
        <w:rPr>
          <w:rFonts w:ascii="黑体" w:hAnsi="黑体" w:eastAsia="黑体" w:cs="黑体"/>
          <w:spacing w:val="-1"/>
          <w:sz w:val="21"/>
          <w:szCs w:val="21"/>
        </w:rPr>
        <w:t>DBXX/TXXXX</w:t>
      </w:r>
      <w:r>
        <w:rPr>
          <w:rFonts w:ascii="宋体" w:hAnsi="宋体" w:eastAsia="宋体" w:cs="宋体"/>
          <w:spacing w:val="-1"/>
          <w:sz w:val="21"/>
          <w:szCs w:val="21"/>
        </w:rPr>
        <w:t>—</w:t>
      </w:r>
      <w:r>
        <w:rPr>
          <w:rFonts w:ascii="黑体" w:hAnsi="黑体" w:eastAsia="黑体" w:cs="黑体"/>
          <w:spacing w:val="-1"/>
          <w:sz w:val="21"/>
          <w:szCs w:val="21"/>
        </w:rPr>
        <w:t>XXXX</w:t>
      </w:r>
    </w:p>
    <w:p>
      <w:pPr>
        <w:spacing w:before="301" w:line="184" w:lineRule="auto"/>
        <w:ind w:firstLine="4287"/>
        <w:outlineLvl w:val="0"/>
        <w:rPr>
          <w:rFonts w:ascii="黑体" w:hAnsi="黑体" w:eastAsia="黑体" w:cs="黑体"/>
          <w:sz w:val="32"/>
          <w:szCs w:val="32"/>
        </w:rPr>
      </w:pPr>
      <w:bookmarkStart w:id="1" w:name="_Toc16109"/>
      <w:r>
        <w:rPr>
          <w:rFonts w:ascii="黑体" w:hAnsi="黑体" w:eastAsia="黑体" w:cs="黑体"/>
          <w:spacing w:val="-7"/>
          <w:sz w:val="32"/>
          <w:szCs w:val="32"/>
        </w:rPr>
        <w:t>前</w:t>
      </w:r>
      <w:r>
        <w:rPr>
          <w:rFonts w:ascii="黑体" w:hAnsi="黑体" w:eastAsia="黑体" w:cs="黑体"/>
          <w:spacing w:val="6"/>
          <w:sz w:val="32"/>
          <w:szCs w:val="32"/>
        </w:rPr>
        <w:t xml:space="preserve">    </w:t>
      </w:r>
      <w:r>
        <w:rPr>
          <w:rFonts w:ascii="黑体" w:hAnsi="黑体" w:eastAsia="黑体" w:cs="黑体"/>
          <w:spacing w:val="-7"/>
          <w:sz w:val="32"/>
          <w:szCs w:val="32"/>
        </w:rPr>
        <w:t>言</w:t>
      </w:r>
      <w:bookmarkEnd w:id="1"/>
    </w:p>
    <w:p>
      <w:pPr>
        <w:spacing w:line="304" w:lineRule="auto"/>
        <w:rPr>
          <w:rFonts w:ascii="宋体"/>
          <w:sz w:val="21"/>
        </w:rPr>
      </w:pPr>
    </w:p>
    <w:p>
      <w:pPr>
        <w:spacing w:line="304" w:lineRule="auto"/>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26" w:firstLine="396" w:firstLineChars="200"/>
        <w:textAlignment w:val="baseline"/>
        <w:rPr>
          <w:rFonts w:ascii="宋体" w:hAnsi="宋体" w:eastAsia="宋体" w:cs="宋体"/>
          <w:sz w:val="21"/>
          <w:szCs w:val="21"/>
        </w:rPr>
      </w:pPr>
      <w:r>
        <w:rPr>
          <w:rFonts w:ascii="宋体" w:hAnsi="宋体" w:eastAsia="宋体" w:cs="宋体"/>
          <w:spacing w:val="-6"/>
          <w:sz w:val="21"/>
          <w:szCs w:val="21"/>
        </w:rPr>
        <w:t>本文件按照</w:t>
      </w:r>
      <w:r>
        <w:rPr>
          <w:rFonts w:ascii="宋体" w:hAnsi="宋体" w:eastAsia="宋体" w:cs="宋体"/>
          <w:spacing w:val="-24"/>
          <w:sz w:val="21"/>
          <w:szCs w:val="21"/>
        </w:rPr>
        <w:t xml:space="preserve"> </w:t>
      </w:r>
      <w:r>
        <w:rPr>
          <w:rFonts w:ascii="宋体" w:hAnsi="宋体" w:eastAsia="宋体" w:cs="宋体"/>
          <w:spacing w:val="-6"/>
          <w:sz w:val="21"/>
          <w:szCs w:val="21"/>
        </w:rPr>
        <w:t>GB/T</w:t>
      </w:r>
      <w:r>
        <w:rPr>
          <w:rFonts w:ascii="宋体" w:hAnsi="宋体" w:eastAsia="宋体" w:cs="宋体"/>
          <w:spacing w:val="22"/>
          <w:sz w:val="21"/>
          <w:szCs w:val="21"/>
        </w:rPr>
        <w:t xml:space="preserve"> </w:t>
      </w:r>
      <w:r>
        <w:rPr>
          <w:rFonts w:ascii="宋体" w:hAnsi="宋体" w:eastAsia="宋体" w:cs="宋体"/>
          <w:spacing w:val="-6"/>
          <w:sz w:val="21"/>
          <w:szCs w:val="21"/>
        </w:rPr>
        <w:t>1.1—2020</w:t>
      </w:r>
      <w:r>
        <w:rPr>
          <w:rFonts w:ascii="宋体" w:hAnsi="宋体" w:eastAsia="宋体" w:cs="宋体"/>
          <w:spacing w:val="-50"/>
          <w:sz w:val="21"/>
          <w:szCs w:val="21"/>
        </w:rPr>
        <w:t xml:space="preserve"> </w:t>
      </w:r>
      <w:r>
        <w:rPr>
          <w:rFonts w:ascii="宋体" w:hAnsi="宋体" w:eastAsia="宋体" w:cs="宋体"/>
          <w:spacing w:val="-6"/>
          <w:sz w:val="21"/>
          <w:szCs w:val="21"/>
        </w:rPr>
        <w:t>《标准化工作导则</w:t>
      </w:r>
      <w:r>
        <w:rPr>
          <w:rFonts w:ascii="宋体" w:hAnsi="宋体" w:eastAsia="宋体" w:cs="宋体"/>
          <w:spacing w:val="3"/>
          <w:sz w:val="21"/>
          <w:szCs w:val="21"/>
        </w:rPr>
        <w:t xml:space="preserve">  </w:t>
      </w:r>
      <w:r>
        <w:rPr>
          <w:rFonts w:ascii="宋体" w:hAnsi="宋体" w:eastAsia="宋体" w:cs="宋体"/>
          <w:spacing w:val="-6"/>
          <w:sz w:val="21"/>
          <w:szCs w:val="21"/>
        </w:rPr>
        <w:t>第</w:t>
      </w:r>
      <w:r>
        <w:rPr>
          <w:rFonts w:ascii="宋体" w:hAnsi="宋体" w:eastAsia="宋体" w:cs="宋体"/>
          <w:spacing w:val="-11"/>
          <w:sz w:val="21"/>
          <w:szCs w:val="21"/>
        </w:rPr>
        <w:t xml:space="preserve"> </w:t>
      </w:r>
      <w:r>
        <w:rPr>
          <w:rFonts w:ascii="宋体" w:hAnsi="宋体" w:eastAsia="宋体" w:cs="宋体"/>
          <w:spacing w:val="-6"/>
          <w:sz w:val="21"/>
          <w:szCs w:val="21"/>
        </w:rPr>
        <w:t>1</w:t>
      </w:r>
      <w:r>
        <w:rPr>
          <w:rFonts w:ascii="宋体" w:hAnsi="宋体" w:eastAsia="宋体" w:cs="宋体"/>
          <w:spacing w:val="-22"/>
          <w:sz w:val="21"/>
          <w:szCs w:val="21"/>
        </w:rPr>
        <w:t xml:space="preserve"> </w:t>
      </w:r>
      <w:r>
        <w:rPr>
          <w:rFonts w:ascii="宋体" w:hAnsi="宋体" w:eastAsia="宋体" w:cs="宋体"/>
          <w:spacing w:val="-6"/>
          <w:sz w:val="21"/>
          <w:szCs w:val="21"/>
        </w:rPr>
        <w:t>部分：</w:t>
      </w:r>
      <w:r>
        <w:rPr>
          <w:rFonts w:ascii="宋体" w:hAnsi="宋体" w:eastAsia="宋体" w:cs="宋体"/>
          <w:spacing w:val="45"/>
          <w:sz w:val="21"/>
          <w:szCs w:val="21"/>
        </w:rPr>
        <w:t xml:space="preserve"> </w:t>
      </w:r>
      <w:r>
        <w:rPr>
          <w:rFonts w:ascii="宋体" w:hAnsi="宋体" w:eastAsia="宋体" w:cs="宋体"/>
          <w:spacing w:val="-6"/>
          <w:sz w:val="21"/>
          <w:szCs w:val="21"/>
        </w:rPr>
        <w:t>标准化文件的结构和起草规则》的规</w:t>
      </w:r>
      <w:r>
        <w:rPr>
          <w:rFonts w:ascii="宋体" w:hAnsi="宋体" w:eastAsia="宋体" w:cs="宋体"/>
          <w:sz w:val="21"/>
          <w:szCs w:val="21"/>
        </w:rPr>
        <w:t xml:space="preserve"> </w:t>
      </w:r>
      <w:r>
        <w:rPr>
          <w:rFonts w:ascii="宋体" w:hAnsi="宋体" w:eastAsia="宋体" w:cs="宋体"/>
          <w:spacing w:val="-3"/>
          <w:sz w:val="21"/>
          <w:szCs w:val="21"/>
        </w:rPr>
        <w:t>定起草。</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cs="宋体"/>
          <w:sz w:val="21"/>
          <w:szCs w:val="21"/>
        </w:rPr>
      </w:pPr>
      <w:r>
        <w:rPr>
          <w:rFonts w:ascii="宋体" w:hAnsi="宋体" w:eastAsia="宋体" w:cs="宋体"/>
          <w:sz w:val="21"/>
          <w:szCs w:val="21"/>
        </w:rPr>
        <w:t>请注意本文件的某些内容可能涉及专利。本文件的发布机构不承担识别专利的责任。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12" w:firstLineChars="200"/>
        <w:textAlignment w:val="baseline"/>
        <w:rPr>
          <w:rFonts w:ascii="宋体" w:hAnsi="宋体" w:eastAsia="宋体" w:cs="宋体"/>
          <w:sz w:val="21"/>
          <w:szCs w:val="21"/>
        </w:rPr>
      </w:pPr>
      <w:r>
        <w:rPr>
          <w:rFonts w:ascii="宋体" w:hAnsi="宋体" w:eastAsia="宋体" w:cs="宋体"/>
          <w:spacing w:val="-2"/>
          <w:sz w:val="21"/>
          <w:szCs w:val="21"/>
        </w:rPr>
        <w:t>本文件由</w:t>
      </w:r>
      <w:r>
        <w:rPr>
          <w:rFonts w:hint="eastAsia" w:ascii="宋体" w:hAnsi="宋体" w:eastAsia="宋体" w:cs="宋体"/>
          <w:spacing w:val="-2"/>
          <w:sz w:val="21"/>
          <w:szCs w:val="21"/>
          <w:lang w:eastAsia="zh-CN"/>
        </w:rPr>
        <w:t>亳州</w:t>
      </w:r>
      <w:r>
        <w:rPr>
          <w:rFonts w:ascii="宋体" w:hAnsi="宋体" w:eastAsia="宋体" w:cs="宋体"/>
          <w:spacing w:val="-2"/>
          <w:sz w:val="21"/>
          <w:szCs w:val="21"/>
        </w:rPr>
        <w:t>市</w:t>
      </w:r>
      <w:r>
        <w:rPr>
          <w:rFonts w:hint="eastAsia" w:ascii="宋体" w:hAnsi="宋体" w:eastAsia="宋体" w:cs="宋体"/>
          <w:spacing w:val="-2"/>
          <w:sz w:val="21"/>
          <w:szCs w:val="21"/>
          <w:lang w:eastAsia="zh-CN"/>
        </w:rPr>
        <w:t>城市管理局</w:t>
      </w:r>
      <w:r>
        <w:rPr>
          <w:rFonts w:ascii="宋体" w:hAnsi="宋体" w:eastAsia="宋体" w:cs="宋体"/>
          <w:spacing w:val="-2"/>
          <w:sz w:val="21"/>
          <w:szCs w:val="21"/>
        </w:rPr>
        <w:t>提出并归口。</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26" w:firstLine="396" w:firstLineChars="200"/>
        <w:textAlignment w:val="baseline"/>
        <w:rPr>
          <w:rFonts w:ascii="宋体" w:hAnsi="宋体" w:eastAsia="宋体" w:cs="宋体"/>
          <w:color w:val="FF0000"/>
          <w:sz w:val="21"/>
          <w:szCs w:val="21"/>
        </w:rPr>
      </w:pPr>
      <w:r>
        <w:rPr>
          <w:rFonts w:ascii="宋体" w:hAnsi="宋体" w:eastAsia="宋体" w:cs="宋体"/>
          <w:spacing w:val="-6"/>
          <w:sz w:val="21"/>
          <w:szCs w:val="21"/>
        </w:rPr>
        <w:t>本文件起草单位：</w:t>
      </w:r>
      <w:r>
        <w:rPr>
          <w:rFonts w:hint="eastAsia" w:ascii="宋体" w:hAnsi="宋体" w:eastAsia="宋体" w:cs="宋体"/>
          <w:spacing w:val="-6"/>
          <w:sz w:val="21"/>
          <w:szCs w:val="21"/>
          <w:lang w:eastAsia="zh-CN"/>
        </w:rPr>
        <w:t>亳州市自来水</w:t>
      </w:r>
      <w:r>
        <w:rPr>
          <w:rFonts w:ascii="宋体" w:hAnsi="宋体" w:eastAsia="宋体" w:cs="宋体"/>
          <w:spacing w:val="-6"/>
          <w:sz w:val="21"/>
          <w:szCs w:val="21"/>
        </w:rPr>
        <w:t>公司、</w:t>
      </w:r>
      <w:r>
        <w:rPr>
          <w:rFonts w:hint="eastAsia" w:ascii="宋体" w:hAnsi="宋体" w:eastAsia="宋体" w:cs="宋体"/>
          <w:spacing w:val="-6"/>
          <w:sz w:val="21"/>
          <w:szCs w:val="21"/>
          <w:lang w:eastAsia="zh-CN"/>
        </w:rPr>
        <w:t>亳州</w:t>
      </w:r>
      <w:r>
        <w:rPr>
          <w:rFonts w:ascii="宋体" w:hAnsi="宋体" w:eastAsia="宋体" w:cs="宋体"/>
          <w:spacing w:val="-6"/>
          <w:sz w:val="21"/>
          <w:szCs w:val="21"/>
        </w:rPr>
        <w:t>市</w:t>
      </w:r>
      <w:r>
        <w:rPr>
          <w:rFonts w:hint="eastAsia" w:ascii="宋体" w:hAnsi="宋体" w:eastAsia="宋体" w:cs="宋体"/>
          <w:spacing w:val="-6"/>
          <w:sz w:val="21"/>
          <w:szCs w:val="21"/>
          <w:lang w:eastAsia="zh-CN"/>
        </w:rPr>
        <w:t>城市管理</w:t>
      </w:r>
      <w:r>
        <w:rPr>
          <w:rFonts w:ascii="宋体" w:hAnsi="宋体" w:eastAsia="宋体" w:cs="宋体"/>
          <w:spacing w:val="-6"/>
          <w:sz w:val="21"/>
          <w:szCs w:val="21"/>
        </w:rPr>
        <w:t>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84" w:firstLineChars="200"/>
        <w:textAlignment w:val="baseline"/>
        <w:rPr>
          <w:rFonts w:hint="eastAsia"/>
        </w:rPr>
      </w:pPr>
      <w:r>
        <w:rPr>
          <w:rFonts w:ascii="宋体" w:hAnsi="宋体" w:eastAsia="宋体" w:cs="宋体"/>
          <w:spacing w:val="-9"/>
          <w:sz w:val="21"/>
          <w:szCs w:val="21"/>
        </w:rPr>
        <w:t>本标准主要起草人员：</w:t>
      </w:r>
      <w:r>
        <w:rPr>
          <w:rFonts w:hint="eastAsia"/>
        </w:rPr>
        <w:t>常永斋</w:t>
      </w:r>
      <w:r>
        <w:rPr>
          <w:rFonts w:hint="eastAsia" w:eastAsia="宋体"/>
          <w:lang w:eastAsia="zh-CN"/>
        </w:rPr>
        <w:t>、</w:t>
      </w:r>
      <w:r>
        <w:rPr>
          <w:rFonts w:hint="eastAsia"/>
        </w:rPr>
        <w:t>王永生</w:t>
      </w:r>
      <w:r>
        <w:rPr>
          <w:rFonts w:hint="eastAsia" w:eastAsia="宋体"/>
          <w:lang w:eastAsia="zh-CN"/>
        </w:rPr>
        <w:t>、</w:t>
      </w:r>
      <w:r>
        <w:rPr>
          <w:rFonts w:hint="eastAsia"/>
        </w:rPr>
        <w:t>怀玉莉</w:t>
      </w:r>
      <w:r>
        <w:rPr>
          <w:rFonts w:hint="eastAsia" w:eastAsia="宋体"/>
          <w:lang w:eastAsia="zh-CN"/>
        </w:rPr>
        <w:t>、</w:t>
      </w:r>
      <w:r>
        <w:rPr>
          <w:rFonts w:hint="eastAsia"/>
        </w:rPr>
        <w:t>刘强</w:t>
      </w:r>
      <w:r>
        <w:rPr>
          <w:rFonts w:hint="eastAsia" w:eastAsia="宋体"/>
          <w:lang w:eastAsia="zh-CN"/>
        </w:rPr>
        <w:t>、</w:t>
      </w:r>
      <w:r>
        <w:rPr>
          <w:rFonts w:hint="eastAsia"/>
        </w:rPr>
        <w:t>高峰</w:t>
      </w:r>
      <w:r>
        <w:rPr>
          <w:rFonts w:hint="eastAsia" w:eastAsia="宋体"/>
          <w:lang w:eastAsia="zh-CN"/>
        </w:rPr>
        <w:t>、</w:t>
      </w:r>
      <w:r>
        <w:rPr>
          <w:rFonts w:hint="eastAsia"/>
        </w:rPr>
        <w:t>王恭昊</w:t>
      </w:r>
      <w:r>
        <w:rPr>
          <w:rFonts w:hint="eastAsia" w:eastAsia="宋体"/>
          <w:lang w:eastAsia="zh-CN"/>
        </w:rPr>
        <w:t>、</w:t>
      </w:r>
      <w:r>
        <w:rPr>
          <w:rFonts w:hint="eastAsia"/>
        </w:rPr>
        <w:t>任兵</w:t>
      </w:r>
      <w:r>
        <w:rPr>
          <w:rFonts w:hint="eastAsia" w:eastAsia="宋体"/>
          <w:lang w:eastAsia="zh-CN"/>
        </w:rPr>
        <w:t>、谢冰、</w:t>
      </w:r>
      <w:r>
        <w:rPr>
          <w:rFonts w:hint="eastAsia"/>
        </w:rPr>
        <w:t>任中龙</w:t>
      </w:r>
      <w:r>
        <w:rPr>
          <w:rFonts w:hint="eastAsia" w:eastAsia="宋体"/>
          <w:lang w:eastAsia="zh-CN"/>
        </w:rPr>
        <w:t>、</w:t>
      </w:r>
      <w:r>
        <w:rPr>
          <w:rFonts w:hint="eastAsia"/>
        </w:rPr>
        <w:t>孔莉珍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16" w:firstLineChars="200"/>
        <w:textAlignment w:val="baseline"/>
        <w:rPr>
          <w:rFonts w:ascii="宋体" w:hAnsi="宋体" w:eastAsia="宋体" w:cs="宋体"/>
          <w:sz w:val="21"/>
          <w:szCs w:val="21"/>
        </w:rPr>
      </w:pPr>
      <w:r>
        <w:rPr>
          <w:rFonts w:ascii="宋体" w:hAnsi="宋体" w:eastAsia="宋体" w:cs="宋体"/>
          <w:spacing w:val="-1"/>
          <w:sz w:val="21"/>
          <w:szCs w:val="21"/>
        </w:rPr>
        <w:t>本文件为首次发布</w:t>
      </w:r>
    </w:p>
    <w:p>
      <w:pPr>
        <w:keepNext w:val="0"/>
        <w:keepLines w:val="0"/>
        <w:pageBreakBefore w:val="0"/>
        <w:widowControl/>
        <w:kinsoku w:val="0"/>
        <w:wordWrap/>
        <w:overflowPunct/>
        <w:topLinePunct w:val="0"/>
        <w:autoSpaceDE w:val="0"/>
        <w:autoSpaceDN w:val="0"/>
        <w:bidi w:val="0"/>
        <w:adjustRightInd w:val="0"/>
        <w:snapToGrid w:val="0"/>
        <w:textAlignment w:val="baseline"/>
        <w:sectPr>
          <w:footerReference r:id="rId7" w:type="default"/>
          <w:pgSz w:w="11907" w:h="16839"/>
          <w:pgMar w:top="1405" w:right="1102" w:bottom="1308" w:left="1390" w:header="0" w:footer="1185" w:gutter="0"/>
          <w:pgNumType w:fmt="decimal"/>
          <w:cols w:space="720" w:num="1"/>
        </w:sectPr>
      </w:pPr>
      <w:bookmarkStart w:id="33" w:name="_GoBack"/>
      <w:bookmarkEnd w:id="33"/>
    </w:p>
    <w:p>
      <w:pPr>
        <w:spacing w:before="41" w:line="186" w:lineRule="auto"/>
        <w:ind w:firstLine="7676"/>
        <w:rPr>
          <w:rFonts w:ascii="黑体" w:hAnsi="黑体" w:eastAsia="黑体" w:cs="黑体"/>
          <w:sz w:val="21"/>
          <w:szCs w:val="21"/>
        </w:rPr>
      </w:pPr>
      <w:r>
        <w:rPr>
          <w:rFonts w:ascii="黑体" w:hAnsi="黑体" w:eastAsia="黑体" w:cs="黑体"/>
          <w:spacing w:val="-1"/>
          <w:sz w:val="21"/>
          <w:szCs w:val="21"/>
        </w:rPr>
        <w:t>DBXX/TXXXX</w:t>
      </w:r>
      <w:r>
        <w:rPr>
          <w:rFonts w:ascii="宋体" w:hAnsi="宋体" w:eastAsia="宋体" w:cs="宋体"/>
          <w:spacing w:val="-1"/>
          <w:sz w:val="21"/>
          <w:szCs w:val="21"/>
        </w:rPr>
        <w:t>—</w:t>
      </w:r>
      <w:r>
        <w:rPr>
          <w:rFonts w:ascii="黑体" w:hAnsi="黑体" w:eastAsia="黑体" w:cs="黑体"/>
          <w:spacing w:val="-1"/>
          <w:sz w:val="21"/>
          <w:szCs w:val="21"/>
        </w:rPr>
        <w:t>XXXX</w:t>
      </w:r>
    </w:p>
    <w:p>
      <w:pPr>
        <w:keepNext w:val="0"/>
        <w:keepLines w:val="0"/>
        <w:pageBreakBefore w:val="0"/>
        <w:widowControl/>
        <w:kinsoku w:val="0"/>
        <w:wordWrap/>
        <w:overflowPunct/>
        <w:topLinePunct w:val="0"/>
        <w:autoSpaceDE w:val="0"/>
        <w:autoSpaceDN w:val="0"/>
        <w:bidi w:val="0"/>
        <w:adjustRightInd w:val="0"/>
        <w:snapToGrid w:val="0"/>
        <w:spacing w:before="0" w:beforeLines="100" w:line="390" w:lineRule="auto"/>
        <w:textAlignment w:val="baseline"/>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2278"/>
        <w:textAlignment w:val="baseline"/>
        <w:outlineLvl w:val="0"/>
        <w:rPr>
          <w:rFonts w:hint="eastAsia" w:ascii="方正小标宋简体" w:hAnsi="黑体" w:eastAsia="方正小标宋简体"/>
          <w:bCs/>
          <w:color w:val="auto"/>
          <w:sz w:val="44"/>
          <w:szCs w:val="44"/>
          <w:highlight w:val="none"/>
          <w:lang w:val="en-US" w:eastAsia="zh-CN"/>
        </w:rPr>
      </w:pPr>
      <w:bookmarkStart w:id="2" w:name="_Toc9110"/>
      <w:r>
        <w:rPr>
          <w:rFonts w:ascii="黑体" w:hAnsi="黑体" w:eastAsia="黑体" w:cs="黑体"/>
          <w:spacing w:val="-1"/>
          <w:sz w:val="32"/>
          <w:szCs w:val="32"/>
        </w:rPr>
        <w:t>二次供水标准化泵房</w:t>
      </w:r>
      <w:r>
        <w:rPr>
          <w:rFonts w:hint="eastAsia" w:ascii="黑体" w:hAnsi="黑体" w:eastAsia="黑体" w:cs="黑体"/>
          <w:spacing w:val="-1"/>
          <w:sz w:val="32"/>
          <w:szCs w:val="32"/>
          <w:lang w:eastAsia="zh-CN"/>
        </w:rPr>
        <w:t>安装技术导则</w:t>
      </w:r>
      <w:bookmarkEnd w:id="2"/>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rPr>
      </w:pPr>
      <w:bookmarkStart w:id="3" w:name="_Toc31517"/>
      <w:r>
        <w:rPr>
          <w:rFonts w:hint="eastAsia" w:ascii="黑体" w:hAnsi="黑体" w:eastAsia="黑体" w:cs="黑体"/>
          <w:snapToGrid w:val="0"/>
          <w:color w:val="000000"/>
          <w:spacing w:val="-6"/>
          <w:kern w:val="0"/>
          <w:sz w:val="21"/>
          <w:szCs w:val="21"/>
        </w:rPr>
        <w:t>1</w:t>
      </w:r>
      <w:r>
        <w:rPr>
          <w:rFonts w:hint="eastAsia" w:ascii="黑体" w:hAnsi="黑体" w:eastAsia="黑体" w:cs="黑体"/>
          <w:snapToGrid w:val="0"/>
          <w:color w:val="000000"/>
          <w:spacing w:val="-6"/>
          <w:kern w:val="0"/>
          <w:sz w:val="21"/>
          <w:szCs w:val="21"/>
          <w:lang w:val="en-US" w:eastAsia="zh-CN"/>
        </w:rPr>
        <w:t xml:space="preserve">  </w:t>
      </w:r>
      <w:r>
        <w:rPr>
          <w:rFonts w:hint="eastAsia" w:ascii="黑体" w:hAnsi="黑体" w:eastAsia="黑体" w:cs="黑体"/>
          <w:snapToGrid w:val="0"/>
          <w:color w:val="000000"/>
          <w:spacing w:val="-6"/>
          <w:kern w:val="0"/>
          <w:sz w:val="21"/>
          <w:szCs w:val="21"/>
        </w:rPr>
        <w:t>总则</w:t>
      </w:r>
      <w:bookmarkEnd w:id="3"/>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rPr>
      </w:pPr>
      <w:bookmarkStart w:id="4" w:name="_Toc28280"/>
      <w:r>
        <w:rPr>
          <w:rFonts w:hint="eastAsia" w:ascii="黑体" w:hAnsi="黑体" w:eastAsia="黑体" w:cs="黑体"/>
          <w:snapToGrid w:val="0"/>
          <w:color w:val="000000"/>
          <w:spacing w:val="-6"/>
          <w:kern w:val="0"/>
          <w:sz w:val="21"/>
          <w:szCs w:val="21"/>
        </w:rPr>
        <w:t xml:space="preserve">1.1 </w:t>
      </w:r>
      <w:r>
        <w:rPr>
          <w:rFonts w:hint="eastAsia" w:ascii="黑体" w:hAnsi="黑体" w:eastAsia="黑体" w:cs="黑体"/>
          <w:snapToGrid w:val="0"/>
          <w:color w:val="000000"/>
          <w:spacing w:val="-6"/>
          <w:kern w:val="0"/>
          <w:sz w:val="21"/>
          <w:szCs w:val="21"/>
          <w:lang w:val="en-US" w:eastAsia="zh-CN"/>
        </w:rPr>
        <w:t xml:space="preserve"> </w:t>
      </w:r>
      <w:r>
        <w:rPr>
          <w:rFonts w:hint="eastAsia" w:ascii="黑体" w:hAnsi="黑体" w:eastAsia="黑体" w:cs="黑体"/>
          <w:snapToGrid w:val="0"/>
          <w:color w:val="000000"/>
          <w:spacing w:val="-6"/>
          <w:kern w:val="0"/>
          <w:sz w:val="21"/>
          <w:szCs w:val="21"/>
        </w:rPr>
        <w:t>目的和意义</w:t>
      </w:r>
      <w:bookmarkEnd w:id="4"/>
      <w:r>
        <w:rPr>
          <w:rFonts w:hint="eastAsia" w:ascii="黑体" w:hAnsi="黑体" w:eastAsia="黑体" w:cs="黑体"/>
          <w:snapToGrid w:val="0"/>
          <w:color w:val="000000"/>
          <w:spacing w:val="-6"/>
          <w:kern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为保障社会公众利益，提高</w:t>
      </w:r>
      <w:r>
        <w:rPr>
          <w:rFonts w:hint="eastAsia" w:ascii="宋体" w:hAnsi="宋体" w:eastAsia="宋体" w:cs="宋体"/>
          <w:snapToGrid w:val="0"/>
          <w:color w:val="000000"/>
          <w:spacing w:val="-6"/>
          <w:kern w:val="0"/>
          <w:sz w:val="21"/>
          <w:szCs w:val="21"/>
          <w:lang w:val="en-US" w:eastAsia="zh-CN"/>
        </w:rPr>
        <w:t>亳州</w:t>
      </w:r>
      <w:r>
        <w:rPr>
          <w:rFonts w:hint="eastAsia" w:ascii="宋体" w:hAnsi="宋体" w:eastAsia="宋体" w:cs="宋体"/>
          <w:snapToGrid w:val="0"/>
          <w:color w:val="000000"/>
          <w:spacing w:val="-6"/>
          <w:kern w:val="0"/>
          <w:sz w:val="21"/>
          <w:szCs w:val="21"/>
        </w:rPr>
        <w:t>市二次供水工程的建设和管理水平，保证二次供水水质、水量、水压和供水安全，制定本导则。</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rPr>
      </w:pPr>
      <w:bookmarkStart w:id="5" w:name="_Toc18245"/>
      <w:r>
        <w:rPr>
          <w:rFonts w:hint="eastAsia" w:ascii="黑体" w:hAnsi="黑体" w:eastAsia="黑体" w:cs="黑体"/>
          <w:snapToGrid w:val="0"/>
          <w:color w:val="000000"/>
          <w:spacing w:val="-6"/>
          <w:kern w:val="0"/>
          <w:sz w:val="21"/>
          <w:szCs w:val="21"/>
        </w:rPr>
        <w:t xml:space="preserve">1.2 </w:t>
      </w:r>
      <w:r>
        <w:rPr>
          <w:rFonts w:hint="eastAsia" w:ascii="黑体" w:hAnsi="黑体" w:eastAsia="黑体" w:cs="黑体"/>
          <w:snapToGrid w:val="0"/>
          <w:color w:val="000000"/>
          <w:spacing w:val="-6"/>
          <w:kern w:val="0"/>
          <w:sz w:val="21"/>
          <w:szCs w:val="21"/>
          <w:lang w:val="en-US" w:eastAsia="zh-CN"/>
        </w:rPr>
        <w:t xml:space="preserve"> </w:t>
      </w:r>
      <w:r>
        <w:rPr>
          <w:rFonts w:hint="eastAsia" w:ascii="黑体" w:hAnsi="黑体" w:eastAsia="黑体" w:cs="黑体"/>
          <w:snapToGrid w:val="0"/>
          <w:color w:val="000000"/>
          <w:spacing w:val="-6"/>
          <w:kern w:val="0"/>
          <w:sz w:val="21"/>
          <w:szCs w:val="21"/>
        </w:rPr>
        <w:t>适用范围</w:t>
      </w:r>
      <w:bookmarkEnd w:id="5"/>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本技术导则适用于</w:t>
      </w:r>
      <w:r>
        <w:rPr>
          <w:rFonts w:hint="eastAsia" w:ascii="宋体" w:hAnsi="宋体" w:eastAsia="宋体" w:cs="宋体"/>
          <w:snapToGrid w:val="0"/>
          <w:color w:val="000000"/>
          <w:spacing w:val="-6"/>
          <w:kern w:val="0"/>
          <w:sz w:val="21"/>
          <w:szCs w:val="21"/>
          <w:lang w:val="en-US" w:eastAsia="zh-CN"/>
        </w:rPr>
        <w:t>亳州</w:t>
      </w:r>
      <w:r>
        <w:rPr>
          <w:rFonts w:hint="eastAsia" w:ascii="宋体" w:hAnsi="宋体" w:eastAsia="宋体" w:cs="宋体"/>
          <w:snapToGrid w:val="0"/>
          <w:color w:val="000000"/>
          <w:spacing w:val="-6"/>
          <w:kern w:val="0"/>
          <w:sz w:val="21"/>
          <w:szCs w:val="21"/>
        </w:rPr>
        <w:t>市行政区域范围内，新建、改建、扩建居住建筑和公共建筑的二次供水工程，其设计、施工、监理、验收和监督管理工作应遵守本导则。</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rPr>
      </w:pPr>
      <w:bookmarkStart w:id="6" w:name="_Toc562"/>
      <w:r>
        <w:rPr>
          <w:rFonts w:hint="eastAsia" w:ascii="黑体" w:hAnsi="黑体" w:eastAsia="黑体" w:cs="黑体"/>
          <w:snapToGrid w:val="0"/>
          <w:color w:val="000000"/>
          <w:spacing w:val="-6"/>
          <w:kern w:val="0"/>
          <w:sz w:val="21"/>
          <w:szCs w:val="21"/>
        </w:rPr>
        <w:t xml:space="preserve">1.3 </w:t>
      </w:r>
      <w:r>
        <w:rPr>
          <w:rFonts w:hint="eastAsia" w:ascii="黑体" w:hAnsi="黑体" w:eastAsia="黑体" w:cs="黑体"/>
          <w:snapToGrid w:val="0"/>
          <w:color w:val="000000"/>
          <w:spacing w:val="-6"/>
          <w:kern w:val="0"/>
          <w:sz w:val="21"/>
          <w:szCs w:val="21"/>
          <w:lang w:val="en-US" w:eastAsia="zh-CN"/>
        </w:rPr>
        <w:t xml:space="preserve"> </w:t>
      </w:r>
      <w:r>
        <w:rPr>
          <w:rFonts w:hint="eastAsia" w:ascii="黑体" w:hAnsi="黑体" w:eastAsia="黑体" w:cs="黑体"/>
          <w:snapToGrid w:val="0"/>
          <w:color w:val="000000"/>
          <w:spacing w:val="-6"/>
          <w:kern w:val="0"/>
          <w:sz w:val="21"/>
          <w:szCs w:val="21"/>
        </w:rPr>
        <w:t>基本要求</w:t>
      </w:r>
      <w:bookmarkEnd w:id="6"/>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rPr>
        <w:t>1.3.</w:t>
      </w:r>
      <w:r>
        <w:rPr>
          <w:rFonts w:hint="eastAsia" w:ascii="黑体" w:hAnsi="黑体" w:eastAsia="黑体" w:cs="黑体"/>
          <w:snapToGrid w:val="0"/>
          <w:color w:val="000000"/>
          <w:spacing w:val="-6"/>
          <w:kern w:val="0"/>
          <w:sz w:val="21"/>
          <w:szCs w:val="21"/>
          <w:lang w:val="en-US" w:eastAsia="zh-CN"/>
        </w:rPr>
        <w:t>1</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严禁二次供水系统与非饮用水系统直接连接。</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b w:val="0"/>
          <w:bCs w:val="0"/>
          <w:snapToGrid w:val="0"/>
          <w:color w:val="000000"/>
          <w:spacing w:val="-6"/>
          <w:kern w:val="0"/>
          <w:sz w:val="21"/>
          <w:szCs w:val="21"/>
        </w:rPr>
        <w:t>1.3.</w:t>
      </w:r>
      <w:r>
        <w:rPr>
          <w:rFonts w:hint="eastAsia" w:ascii="黑体" w:hAnsi="黑体" w:eastAsia="黑体" w:cs="黑体"/>
          <w:b w:val="0"/>
          <w:bCs w:val="0"/>
          <w:snapToGrid w:val="0"/>
          <w:color w:val="000000"/>
          <w:spacing w:val="-6"/>
          <w:kern w:val="0"/>
          <w:sz w:val="21"/>
          <w:szCs w:val="21"/>
          <w:lang w:val="en-US" w:eastAsia="zh-CN"/>
        </w:rPr>
        <w:t>2</w:t>
      </w:r>
      <w:r>
        <w:rPr>
          <w:rFonts w:hint="eastAsia" w:ascii="宋体" w:hAnsi="宋体" w:eastAsia="宋体" w:cs="宋体"/>
          <w:b w:val="0"/>
          <w:bCs w:val="0"/>
          <w:snapToGrid w:val="0"/>
          <w:color w:val="000000"/>
          <w:spacing w:val="-6"/>
          <w:kern w:val="0"/>
          <w:sz w:val="21"/>
          <w:szCs w:val="21"/>
        </w:rPr>
        <w:t xml:space="preserve"> </w:t>
      </w:r>
      <w:r>
        <w:rPr>
          <w:rFonts w:hint="eastAsia" w:ascii="宋体" w:hAnsi="宋体" w:eastAsia="宋体" w:cs="宋体"/>
          <w:b w:val="0"/>
          <w:bCs w:val="0"/>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二次供水工程必须与主体工程同步设计、同步施工、同步交付使用。其设计、施工、监理单位必须具有相应资质、资格。</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b w:val="0"/>
          <w:bCs w:val="0"/>
          <w:snapToGrid w:val="0"/>
          <w:color w:val="000000"/>
          <w:spacing w:val="-6"/>
          <w:kern w:val="0"/>
          <w:sz w:val="21"/>
          <w:szCs w:val="21"/>
        </w:rPr>
        <w:t>1.3.</w:t>
      </w:r>
      <w:r>
        <w:rPr>
          <w:rFonts w:hint="eastAsia" w:ascii="黑体" w:hAnsi="黑体" w:eastAsia="黑体" w:cs="黑体"/>
          <w:b w:val="0"/>
          <w:bCs w:val="0"/>
          <w:snapToGrid w:val="0"/>
          <w:color w:val="000000"/>
          <w:spacing w:val="-6"/>
          <w:kern w:val="0"/>
          <w:sz w:val="21"/>
          <w:szCs w:val="21"/>
          <w:lang w:val="en-US" w:eastAsia="zh-CN"/>
        </w:rPr>
        <w:t>3</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二次供水工程应满足使用要求、节能节水和卫生环保要求，同时还应方便施工安装、操作管理、维修检测和安全保护等。</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b w:val="0"/>
          <w:bCs w:val="0"/>
          <w:snapToGrid w:val="0"/>
          <w:color w:val="000000"/>
          <w:spacing w:val="-6"/>
          <w:kern w:val="0"/>
          <w:sz w:val="21"/>
          <w:szCs w:val="21"/>
        </w:rPr>
        <w:t>1.3.</w:t>
      </w:r>
      <w:r>
        <w:rPr>
          <w:rFonts w:hint="eastAsia" w:ascii="黑体" w:hAnsi="黑体" w:eastAsia="黑体" w:cs="黑体"/>
          <w:b w:val="0"/>
          <w:bCs w:val="0"/>
          <w:snapToGrid w:val="0"/>
          <w:color w:val="000000"/>
          <w:spacing w:val="-6"/>
          <w:kern w:val="0"/>
          <w:sz w:val="21"/>
          <w:szCs w:val="21"/>
          <w:lang w:val="en-US" w:eastAsia="zh-CN"/>
        </w:rPr>
        <w:t>4</w:t>
      </w:r>
      <w:r>
        <w:rPr>
          <w:rFonts w:hint="eastAsia" w:ascii="宋体" w:hAnsi="宋体" w:eastAsia="宋体" w:cs="宋体"/>
          <w:b w:val="0"/>
          <w:bCs w:val="0"/>
          <w:snapToGrid w:val="0"/>
          <w:color w:val="000000"/>
          <w:spacing w:val="-6"/>
          <w:kern w:val="0"/>
          <w:sz w:val="21"/>
          <w:szCs w:val="21"/>
        </w:rPr>
        <w:t xml:space="preserve"> </w:t>
      </w:r>
      <w:r>
        <w:rPr>
          <w:rFonts w:hint="eastAsia" w:ascii="宋体" w:hAnsi="宋体" w:eastAsia="宋体" w:cs="宋体"/>
          <w:b w:val="0"/>
          <w:bCs w:val="0"/>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二次供水设施应独立设置，不得与消防等设施混用。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rPr>
        <w:t>1.3.</w:t>
      </w:r>
      <w:r>
        <w:rPr>
          <w:rFonts w:hint="eastAsia" w:ascii="黑体" w:hAnsi="黑体" w:eastAsia="黑体" w:cs="黑体"/>
          <w:snapToGrid w:val="0"/>
          <w:color w:val="000000"/>
          <w:spacing w:val="-6"/>
          <w:kern w:val="0"/>
          <w:sz w:val="21"/>
          <w:szCs w:val="21"/>
          <w:lang w:val="en-US" w:eastAsia="zh-CN"/>
        </w:rPr>
        <w:t>5</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二次供水系统的水质，应符合《生活饮用水卫生标准》（GB5749）和《二次供水设施卫生规范》（GB 17051）的相关规定。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rPr>
        <w:t>1.3.</w:t>
      </w:r>
      <w:r>
        <w:rPr>
          <w:rFonts w:hint="eastAsia" w:ascii="黑体" w:hAnsi="黑体" w:eastAsia="黑体" w:cs="黑体"/>
          <w:snapToGrid w:val="0"/>
          <w:color w:val="000000"/>
          <w:spacing w:val="-6"/>
          <w:kern w:val="0"/>
          <w:sz w:val="21"/>
          <w:szCs w:val="21"/>
          <w:lang w:val="en-US" w:eastAsia="zh-CN"/>
        </w:rPr>
        <w:t>6</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二次供水工程所采用的管道、管件、设备和辅助材料应符合国家现行标准，卫生性能应符合《生活饮用水输配水设备及防护材料的安全性评价标准》（GB/T 17219）、《二次供水设施卫生规范》（GB 17051）的相关规定。二次供水成套箱式无负压给水设备、成套无负压给水设备产品生产质量执行不低于《无负压管网增压稳流给水设备》GB/T26003、《罐式叠压给水设备》GB/T24912、《箱式叠压给水设备》GB/T24603、《离心泵技术条件（III 类）》 GB/T5657、《水泵流量的测定方法》GB/T3214、《钢制压力容器》GB150、《旋转电机定额和性能》GB755、《电气控制设备》GB/T3797、《外壳防护等级》GB4208、《流体输送用不锈钢焊接钢管》GB/T12771 最新标准，其他配件执行相应国家最新标准要求。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rPr>
        <w:t>1.3.</w:t>
      </w:r>
      <w:r>
        <w:rPr>
          <w:rFonts w:hint="eastAsia" w:ascii="黑体" w:hAnsi="黑体" w:eastAsia="黑体" w:cs="黑体"/>
          <w:snapToGrid w:val="0"/>
          <w:color w:val="000000"/>
          <w:spacing w:val="-6"/>
          <w:kern w:val="0"/>
          <w:sz w:val="21"/>
          <w:szCs w:val="21"/>
          <w:lang w:val="en-US" w:eastAsia="zh-CN"/>
        </w:rPr>
        <w:t>7</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二次供水设施防冻保温设计应符合《建筑给水排水设计规范》（GB50015）、《建筑给水排水及采暖工程施工质量验收规范》（GB50242）、安徽省《二次供水工程技术规程》（DB34/T 5024）以及本技术导则的相关规定与要求。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eastAsia="zh-CN"/>
        </w:rPr>
      </w:pPr>
      <w:r>
        <w:rPr>
          <w:rFonts w:hint="eastAsia" w:ascii="黑体" w:hAnsi="黑体" w:eastAsia="黑体" w:cs="黑体"/>
          <w:snapToGrid w:val="0"/>
          <w:color w:val="000000"/>
          <w:spacing w:val="-6"/>
          <w:kern w:val="0"/>
          <w:sz w:val="21"/>
          <w:szCs w:val="21"/>
        </w:rPr>
        <w:t>1.3.</w:t>
      </w:r>
      <w:r>
        <w:rPr>
          <w:rFonts w:hint="eastAsia" w:ascii="黑体" w:hAnsi="黑体" w:eastAsia="黑体" w:cs="黑体"/>
          <w:snapToGrid w:val="0"/>
          <w:color w:val="000000"/>
          <w:spacing w:val="-6"/>
          <w:kern w:val="0"/>
          <w:sz w:val="21"/>
          <w:szCs w:val="21"/>
          <w:lang w:val="en-US" w:eastAsia="zh-CN"/>
        </w:rPr>
        <w:t>8</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二次供水工程的建设与管理除应符合本导则规定外，尚应符合国家现行有关标准、规范的规定</w:t>
      </w:r>
      <w:r>
        <w:rPr>
          <w:rFonts w:hint="eastAsia" w:ascii="宋体" w:hAnsi="宋体" w:eastAsia="宋体" w:cs="宋体"/>
          <w:snapToGrid w:val="0"/>
          <w:color w:val="000000"/>
          <w:spacing w:val="-6"/>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7" w:name="_Toc10143"/>
      <w:r>
        <w:rPr>
          <w:rFonts w:hint="eastAsia" w:ascii="黑体" w:hAnsi="黑体" w:eastAsia="黑体" w:cs="黑体"/>
          <w:snapToGrid w:val="0"/>
          <w:color w:val="000000"/>
          <w:spacing w:val="-6"/>
          <w:kern w:val="0"/>
          <w:sz w:val="21"/>
          <w:szCs w:val="21"/>
          <w:lang w:val="en-US" w:eastAsia="zh-CN"/>
        </w:rPr>
        <w:t>2  引用主要标准、规范和法规（现行）</w:t>
      </w:r>
      <w:bookmarkEnd w:id="7"/>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《建筑给水排水设计规范》（GB 50015）</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《建筑给水排水及采暖工程施工质量验收规范》（GB 50242）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《给水排水管道工程结构设计规范》（GB 50332）</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《给水排水管道工程施工及验收规范》（GB 50268）</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 xml:space="preserve">《给水排水工程构筑物结构设计规范》（GB 50069）《室外给水设计标准》（GB 50013）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《生活饮用水输配水设备及防护材料的安全性评价标准》（GB/T 17219）</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 xml:space="preserve">《生活饮用水卫生标准》（GB 5749）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 xml:space="preserve">《二次供水设施卫生规范》（GB 17051）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《二次供水工程技术规程》（CJJ 140）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《二次供水工程技术规程》（DB34/T 5024）</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《生活饮用水集中式供水单位卫生规范》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《生活饮用水卫生监督管理办法》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《亳州市城市供水管理办法》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7"/>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《亳州市二次供水管理办法》</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8" w:name="_Toc556"/>
      <w:r>
        <w:rPr>
          <w:rFonts w:hint="eastAsia" w:ascii="黑体" w:hAnsi="黑体" w:eastAsia="黑体" w:cs="黑体"/>
          <w:snapToGrid w:val="0"/>
          <w:color w:val="000000"/>
          <w:spacing w:val="-6"/>
          <w:kern w:val="0"/>
          <w:sz w:val="21"/>
          <w:szCs w:val="21"/>
          <w:lang w:val="en-US" w:eastAsia="zh-CN"/>
        </w:rPr>
        <w:t>3  术语</w:t>
      </w:r>
      <w:bookmarkEnd w:id="8"/>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3.1  二次供水 secondary water supply</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当民用建筑生活饮用水对水压、水量的要求超过城镇公共供水或自建设施供水管网能力时，通过储存、加压等设施经管道供给用户或自用的供水方式。</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3.2  二次供水设施 secondary water supply installation</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为二次供水设置的泵房、水箱、水泵、阀门、电控装置、消毒设备、压力水容器、供水管道等设施。</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3.3  自灌 self-priming</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水泵启动时水靠重力充入泵体的引水方式。</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3.4  变频调速供水设备 water supply equipment of VFD </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由变频器改变电机供电频率、运转速度，实现恒压变量供水的设备。</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3.5  水锤压力 surge pressure</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管道系统工作中，由于水的流速发生突然变化，而产生的瞬时波动压力。</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3.6  管网叠压（无负压）供水设备 pipenet pressure-add ( non-negative pressure) water supply equipment </w:t>
      </w:r>
    </w:p>
    <w:p>
      <w:pPr>
        <w:keepNext w:val="0"/>
        <w:keepLines w:val="0"/>
        <w:pageBreakBefore w:val="0"/>
        <w:widowControl/>
        <w:kinsoku w:val="0"/>
        <w:wordWrap/>
        <w:overflowPunct/>
        <w:topLinePunct w:val="0"/>
        <w:autoSpaceDE w:val="0"/>
        <w:autoSpaceDN w:val="0"/>
        <w:bidi w:val="0"/>
        <w:adjustRightInd w:val="0"/>
        <w:snapToGrid w:val="0"/>
        <w:spacing w:before="289"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 xml:space="preserve">利用城镇供水管网压力直接增压的二次供水设备。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before="289" w:line="240" w:lineRule="auto"/>
        <w:jc w:val="left"/>
        <w:textAlignment w:val="baseline"/>
        <w:outlineLvl w:val="0"/>
        <w:rPr>
          <w:rFonts w:hint="eastAsia" w:ascii="黑体" w:hAnsi="黑体" w:eastAsia="黑体" w:cs="黑体"/>
          <w:snapToGrid w:val="0"/>
          <w:color w:val="000000"/>
          <w:spacing w:val="-6"/>
          <w:kern w:val="0"/>
          <w:sz w:val="21"/>
          <w:szCs w:val="21"/>
        </w:rPr>
      </w:pPr>
      <w:bookmarkStart w:id="9" w:name="_Toc27070"/>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 xml:space="preserve"> </w:t>
      </w:r>
      <w:r>
        <w:rPr>
          <w:rFonts w:hint="eastAsia" w:ascii="黑体" w:hAnsi="黑体" w:eastAsia="黑体" w:cs="黑体"/>
          <w:snapToGrid w:val="0"/>
          <w:color w:val="000000"/>
          <w:spacing w:val="-6"/>
          <w:kern w:val="0"/>
          <w:sz w:val="21"/>
          <w:szCs w:val="21"/>
          <w:lang w:val="en-US" w:eastAsia="zh-CN"/>
        </w:rPr>
        <w:t xml:space="preserve"> 设备</w:t>
      </w:r>
      <w:r>
        <w:rPr>
          <w:rFonts w:hint="eastAsia" w:ascii="黑体" w:hAnsi="黑体" w:eastAsia="黑体" w:cs="黑体"/>
          <w:snapToGrid w:val="0"/>
          <w:color w:val="000000"/>
          <w:spacing w:val="-6"/>
          <w:kern w:val="0"/>
          <w:sz w:val="21"/>
          <w:szCs w:val="21"/>
        </w:rPr>
        <w:t>要求</w:t>
      </w:r>
      <w:bookmarkEnd w:id="9"/>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0" w:name="_Toc1611"/>
      <w:r>
        <w:rPr>
          <w:rFonts w:hint="eastAsia" w:ascii="黑体" w:hAnsi="黑体" w:eastAsia="黑体" w:cs="黑体"/>
          <w:snapToGrid w:val="0"/>
          <w:color w:val="000000"/>
          <w:spacing w:val="-6"/>
          <w:kern w:val="0"/>
          <w:sz w:val="21"/>
          <w:szCs w:val="21"/>
          <w:lang w:val="en-US" w:eastAsia="zh-CN"/>
        </w:rPr>
        <w:t>4.1 综合要求</w:t>
      </w:r>
      <w:bookmarkEnd w:id="10"/>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auto"/>
          <w:spacing w:val="-6"/>
          <w:kern w:val="0"/>
          <w:sz w:val="21"/>
          <w:szCs w:val="21"/>
          <w:lang w:eastAsia="zh-CN"/>
        </w:rPr>
      </w:pPr>
      <w:r>
        <w:rPr>
          <w:rFonts w:hint="eastAsia" w:ascii="黑体" w:hAnsi="黑体" w:eastAsia="黑体" w:cs="黑体"/>
          <w:snapToGrid w:val="0"/>
          <w:color w:val="auto"/>
          <w:spacing w:val="-6"/>
          <w:kern w:val="0"/>
          <w:sz w:val="21"/>
          <w:szCs w:val="21"/>
          <w:lang w:val="en-US" w:eastAsia="zh-CN"/>
        </w:rPr>
        <w:t>4.1.</w:t>
      </w:r>
      <w:r>
        <w:rPr>
          <w:rFonts w:hint="eastAsia" w:ascii="黑体" w:hAnsi="黑体" w:eastAsia="黑体" w:cs="黑体"/>
          <w:snapToGrid w:val="0"/>
          <w:color w:val="auto"/>
          <w:spacing w:val="-6"/>
          <w:kern w:val="0"/>
          <w:sz w:val="21"/>
          <w:szCs w:val="21"/>
        </w:rPr>
        <w:t>1</w:t>
      </w:r>
      <w:r>
        <w:rPr>
          <w:rFonts w:hint="eastAsia" w:ascii="宋体" w:hAnsi="宋体" w:eastAsia="宋体" w:cs="宋体"/>
          <w:snapToGrid w:val="0"/>
          <w:color w:val="auto"/>
          <w:spacing w:val="-6"/>
          <w:kern w:val="0"/>
          <w:sz w:val="21"/>
          <w:szCs w:val="21"/>
        </w:rPr>
        <w:t xml:space="preserve"> </w:t>
      </w:r>
      <w:r>
        <w:rPr>
          <w:rFonts w:hint="eastAsia" w:ascii="宋体" w:hAnsi="宋体" w:eastAsia="宋体" w:cs="宋体"/>
          <w:snapToGrid w:val="0"/>
          <w:color w:val="auto"/>
          <w:spacing w:val="-6"/>
          <w:kern w:val="0"/>
          <w:sz w:val="21"/>
          <w:szCs w:val="21"/>
          <w:lang w:val="en-US" w:eastAsia="zh-CN"/>
        </w:rPr>
        <w:t xml:space="preserve"> 以下建筑</w:t>
      </w:r>
      <w:r>
        <w:rPr>
          <w:rFonts w:hint="eastAsia" w:ascii="宋体" w:hAnsi="宋体" w:eastAsia="宋体" w:cs="宋体"/>
          <w:snapToGrid w:val="0"/>
          <w:color w:val="auto"/>
          <w:spacing w:val="-6"/>
          <w:kern w:val="0"/>
          <w:sz w:val="21"/>
          <w:szCs w:val="21"/>
        </w:rPr>
        <w:t>必须设计和建设二次供水设施</w:t>
      </w:r>
      <w:r>
        <w:rPr>
          <w:rFonts w:hint="eastAsia" w:ascii="宋体" w:hAnsi="宋体" w:eastAsia="宋体" w:cs="宋体"/>
          <w:snapToGrid w:val="0"/>
          <w:color w:val="auto"/>
          <w:spacing w:val="-6"/>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auto"/>
          <w:spacing w:val="-6"/>
          <w:kern w:val="0"/>
          <w:sz w:val="21"/>
          <w:szCs w:val="21"/>
          <w:lang w:eastAsia="zh-CN"/>
        </w:rPr>
      </w:pPr>
      <w:r>
        <w:rPr>
          <w:rFonts w:hint="eastAsia" w:ascii="宋体" w:hAnsi="宋体" w:eastAsia="宋体" w:cs="宋体"/>
          <w:snapToGrid w:val="0"/>
          <w:color w:val="auto"/>
          <w:spacing w:val="-6"/>
          <w:kern w:val="0"/>
          <w:sz w:val="21"/>
          <w:szCs w:val="21"/>
          <w:lang w:eastAsia="zh-CN"/>
        </w:rPr>
        <w:t>（</w:t>
      </w:r>
      <w:r>
        <w:rPr>
          <w:rFonts w:hint="eastAsia" w:ascii="宋体" w:hAnsi="宋体" w:eastAsia="宋体" w:cs="宋体"/>
          <w:snapToGrid w:val="0"/>
          <w:color w:val="auto"/>
          <w:spacing w:val="-6"/>
          <w:kern w:val="0"/>
          <w:sz w:val="21"/>
          <w:szCs w:val="21"/>
          <w:lang w:val="en-US" w:eastAsia="zh-CN"/>
        </w:rPr>
        <w:t>1</w:t>
      </w:r>
      <w:r>
        <w:rPr>
          <w:rFonts w:hint="eastAsia" w:ascii="宋体" w:hAnsi="宋体" w:eastAsia="宋体" w:cs="宋体"/>
          <w:snapToGrid w:val="0"/>
          <w:color w:val="auto"/>
          <w:spacing w:val="-6"/>
          <w:kern w:val="0"/>
          <w:sz w:val="21"/>
          <w:szCs w:val="21"/>
          <w:lang w:eastAsia="zh-CN"/>
        </w:rPr>
        <w:t>）</w:t>
      </w:r>
      <w:r>
        <w:rPr>
          <w:rFonts w:hint="eastAsia" w:ascii="宋体" w:hAnsi="宋体" w:eastAsia="宋体" w:cs="宋体"/>
          <w:snapToGrid w:val="0"/>
          <w:color w:val="auto"/>
          <w:spacing w:val="-6"/>
          <w:kern w:val="0"/>
          <w:sz w:val="21"/>
          <w:szCs w:val="21"/>
        </w:rPr>
        <w:t>高层住宅直供层数超过</w:t>
      </w:r>
      <w:r>
        <w:rPr>
          <w:rFonts w:hint="eastAsia" w:ascii="宋体" w:hAnsi="宋体" w:eastAsia="宋体" w:cs="宋体"/>
          <w:snapToGrid w:val="0"/>
          <w:color w:val="auto"/>
          <w:spacing w:val="-6"/>
          <w:kern w:val="0"/>
          <w:sz w:val="21"/>
          <w:szCs w:val="21"/>
          <w:lang w:val="en-US" w:eastAsia="zh-CN"/>
        </w:rPr>
        <w:t>4</w:t>
      </w:r>
      <w:r>
        <w:rPr>
          <w:rFonts w:hint="eastAsia" w:ascii="宋体" w:hAnsi="宋体" w:eastAsia="宋体" w:cs="宋体"/>
          <w:snapToGrid w:val="0"/>
          <w:color w:val="auto"/>
          <w:spacing w:val="-6"/>
          <w:kern w:val="0"/>
          <w:sz w:val="21"/>
          <w:szCs w:val="21"/>
        </w:rPr>
        <w:t>层</w:t>
      </w:r>
      <w:r>
        <w:rPr>
          <w:rFonts w:hint="eastAsia" w:ascii="宋体" w:hAnsi="宋体" w:eastAsia="宋体" w:cs="宋体"/>
          <w:snapToGrid w:val="0"/>
          <w:color w:val="auto"/>
          <w:spacing w:val="-6"/>
          <w:kern w:val="0"/>
          <w:sz w:val="21"/>
          <w:szCs w:val="21"/>
          <w:lang w:eastAsia="zh-CN"/>
        </w:rPr>
        <w:t>的建筑；</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auto"/>
          <w:spacing w:val="-6"/>
          <w:kern w:val="0"/>
          <w:sz w:val="21"/>
          <w:szCs w:val="21"/>
          <w:lang w:val="en-US" w:eastAsia="zh-CN"/>
        </w:rPr>
      </w:pPr>
      <w:r>
        <w:rPr>
          <w:rFonts w:hint="eastAsia" w:ascii="宋体" w:hAnsi="宋体" w:eastAsia="宋体" w:cs="宋体"/>
          <w:snapToGrid w:val="0"/>
          <w:color w:val="auto"/>
          <w:spacing w:val="-6"/>
          <w:kern w:val="0"/>
          <w:sz w:val="21"/>
          <w:szCs w:val="21"/>
          <w:lang w:val="en-US" w:eastAsia="zh-CN"/>
        </w:rPr>
        <w:t>（2）用水户数超过2000户的居民小区超过3层的建筑；</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auto"/>
          <w:spacing w:val="-6"/>
          <w:kern w:val="0"/>
          <w:sz w:val="21"/>
          <w:szCs w:val="21"/>
          <w:lang w:eastAsia="zh-CN"/>
        </w:rPr>
      </w:pPr>
      <w:r>
        <w:rPr>
          <w:rFonts w:hint="eastAsia" w:ascii="宋体" w:hAnsi="宋体" w:eastAsia="宋体" w:cs="宋体"/>
          <w:snapToGrid w:val="0"/>
          <w:color w:val="auto"/>
          <w:spacing w:val="-6"/>
          <w:kern w:val="0"/>
          <w:sz w:val="21"/>
          <w:szCs w:val="21"/>
          <w:lang w:val="en-US" w:eastAsia="zh-CN"/>
        </w:rPr>
        <w:t>（3）其他</w:t>
      </w:r>
      <w:r>
        <w:rPr>
          <w:rFonts w:hint="eastAsia" w:ascii="宋体" w:hAnsi="宋体" w:eastAsia="宋体" w:cs="宋体"/>
          <w:snapToGrid w:val="0"/>
          <w:color w:val="auto"/>
          <w:spacing w:val="-6"/>
          <w:kern w:val="0"/>
          <w:sz w:val="21"/>
          <w:szCs w:val="21"/>
        </w:rPr>
        <w:t>水压、水量要求超过市政供水管网供水能力的建筑</w:t>
      </w:r>
      <w:r>
        <w:rPr>
          <w:rFonts w:hint="eastAsia" w:ascii="宋体" w:hAnsi="宋体" w:eastAsia="宋体" w:cs="宋体"/>
          <w:snapToGrid w:val="0"/>
          <w:color w:val="auto"/>
          <w:spacing w:val="-6"/>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4.1.2  </w:t>
      </w:r>
      <w:r>
        <w:rPr>
          <w:rFonts w:hint="eastAsia" w:ascii="宋体" w:hAnsi="宋体" w:eastAsia="宋体" w:cs="宋体"/>
          <w:snapToGrid w:val="0"/>
          <w:color w:val="000000"/>
          <w:spacing w:val="-6"/>
          <w:kern w:val="0"/>
          <w:sz w:val="21"/>
          <w:szCs w:val="21"/>
        </w:rPr>
        <w:t>二次供水系统可采用水箱加变频调速供水设备、叠压（或无负压）、增压设备加高位水箱等增压系统形式。</w:t>
      </w:r>
      <w:r>
        <w:rPr>
          <w:rFonts w:hint="eastAsia" w:ascii="宋体" w:hAnsi="宋体" w:eastAsia="宋体" w:cs="宋体"/>
          <w:snapToGrid w:val="0"/>
          <w:color w:val="000000"/>
          <w:spacing w:val="-6"/>
          <w:kern w:val="0"/>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.1.3</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住宅小区二次供水系统的引入管应从市政供水管网单独引入并安装计量水表。泵房引入管管径不应小于200mm，小区用水户超过2000户小区的引入管管径不应小于300mm。</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 xml:space="preserve">.1.4 </w:t>
      </w:r>
      <w:r>
        <w:rPr>
          <w:rFonts w:hint="eastAsia" w:ascii="黑体" w:hAnsi="黑体" w:eastAsia="黑体" w:cs="黑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二次供水竖向分区应符合下列要求：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（1）采用水箱加变频调速供水设备、叠压（或无负压）加压供水时，不应采用一次加压后再利用减压阀分区降压供水的高能耗方式；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（2）各分区内最低层入户管给水静压力，居住建筑不应大于0.35MPa，公共建筑不应大于0.45MPa；</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（3）居住建筑各分区入户管上给水静水压力大于0.30MPa时，应设减压或调压设施，减压或调压后，保证各用水点处供水压力不大于0.20MPa，且不小于用水器具要求的最低压力。</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（4）住宅竖向给水</w:t>
      </w:r>
      <w:r>
        <w:rPr>
          <w:rFonts w:hint="eastAsia" w:ascii="宋体" w:hAnsi="宋体" w:eastAsia="宋体" w:cs="宋体"/>
          <w:snapToGrid w:val="0"/>
          <w:color w:val="000000"/>
          <w:spacing w:val="-6"/>
          <w:kern w:val="0"/>
          <w:sz w:val="21"/>
          <w:szCs w:val="21"/>
          <w:lang w:eastAsia="zh-CN"/>
        </w:rPr>
        <w:t>分区</w:t>
      </w:r>
      <w:r>
        <w:rPr>
          <w:rFonts w:hint="eastAsia" w:ascii="宋体" w:hAnsi="宋体" w:eastAsia="宋体" w:cs="宋体"/>
          <w:snapToGrid w:val="0"/>
          <w:color w:val="000000"/>
          <w:spacing w:val="-6"/>
          <w:kern w:val="0"/>
          <w:sz w:val="21"/>
          <w:szCs w:val="21"/>
        </w:rPr>
        <w:t>宜</w:t>
      </w:r>
      <w:r>
        <w:rPr>
          <w:rFonts w:hint="eastAsia" w:ascii="宋体" w:hAnsi="宋体" w:eastAsia="宋体" w:cs="宋体"/>
          <w:snapToGrid w:val="0"/>
          <w:color w:val="000000"/>
          <w:spacing w:val="-6"/>
          <w:kern w:val="0"/>
          <w:sz w:val="21"/>
          <w:szCs w:val="21"/>
          <w:lang w:eastAsia="zh-CN"/>
        </w:rPr>
        <w:t>以</w:t>
      </w:r>
      <w:r>
        <w:rPr>
          <w:rFonts w:hint="eastAsia" w:ascii="宋体" w:hAnsi="宋体" w:eastAsia="宋体" w:cs="宋体"/>
          <w:snapToGrid w:val="0"/>
          <w:color w:val="000000"/>
          <w:spacing w:val="-6"/>
          <w:kern w:val="0"/>
          <w:sz w:val="21"/>
          <w:szCs w:val="21"/>
        </w:rPr>
        <w:t>6～8层为一加压区。</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.1.5</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二次供水系统的供水压力应根据最不利点卫生器具和用水设备最低工作压力确定，住宅最不利点水压不应小于0.10MPa。</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.1.6</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二次供水范围内，使用性质不同或水费单价不同的用水，应分系统分表计量。新建及改造高层住宅宜采用智能水表，水表应具有防倒转功能。管井内与立管应同步敷设PVC穿线管一根。</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w:t>
      </w:r>
      <w:r>
        <w:rPr>
          <w:rFonts w:hint="eastAsia" w:ascii="黑体" w:hAnsi="黑体" w:eastAsia="黑体" w:cs="黑体"/>
          <w:snapToGrid w:val="0"/>
          <w:color w:val="000000"/>
          <w:spacing w:val="-6"/>
          <w:kern w:val="0"/>
          <w:sz w:val="21"/>
          <w:szCs w:val="21"/>
        </w:rPr>
        <w:t>.1.7</w:t>
      </w:r>
      <w:r>
        <w:rPr>
          <w:rFonts w:hint="eastAsia" w:ascii="宋体" w:hAnsi="宋体" w:eastAsia="宋体" w:cs="宋体"/>
          <w:snapToGrid w:val="0"/>
          <w:color w:val="000000"/>
          <w:spacing w:val="-6"/>
          <w:kern w:val="0"/>
          <w:sz w:val="21"/>
          <w:szCs w:val="21"/>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有能耗监测要求的大型公共建筑应采用智能水表。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4.1.8</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水泵应选择节能、低噪声且维修方便的水泵；水泵噪声及振动应符合国家相关规定。选择生活给水的加压水泵，应遵守下列规定：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（1）水泵的Q~H特性曲线，应是随流量的增大，扬程逐渐下降的曲线；</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rPr>
      </w:pPr>
      <w:r>
        <w:rPr>
          <w:rFonts w:hint="eastAsia" w:ascii="宋体" w:hAnsi="宋体" w:eastAsia="宋体" w:cs="宋体"/>
          <w:snapToGrid w:val="0"/>
          <w:color w:val="000000"/>
          <w:spacing w:val="-6"/>
          <w:kern w:val="0"/>
          <w:sz w:val="21"/>
          <w:szCs w:val="21"/>
        </w:rPr>
        <w:t>（2）水泵应根据管网水力计算结果选型，并应保证设计工况下水泵效率处在高效区；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rPr>
        <w:t>（3）水泵的效率不应低于现行国家标准《清水离心泵能效限定值及节能评价值》（GB 19762）规定的泵节能评价值</w:t>
      </w:r>
      <w:r>
        <w:rPr>
          <w:rFonts w:hint="eastAsia" w:ascii="宋体" w:hAnsi="宋体" w:eastAsia="宋体" w:cs="宋体"/>
          <w:snapToGrid w:val="0"/>
          <w:color w:val="000000"/>
          <w:spacing w:val="-6"/>
          <w:kern w:val="0"/>
          <w:sz w:val="21"/>
          <w:szCs w:val="21"/>
          <w:lang w:val="en-US" w:eastAsia="zh-CN"/>
        </w:rPr>
        <w:t>,须提供由具有CMA或CNAS标志的检测机构出具的检验报告。水泵产品应具有《中国节能产品认证证书》。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（4）水泵噪音满足《泵的噪声测量与评价方法》（GB/T29529)最近标准中规定的B级及以上要求，水泵振动满足振动符合现行标准《泵的振动测量与评价方法》(GB/T29531)最新标准规定的B级及以上要求。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 xml:space="preserve">4.1.9  </w:t>
      </w:r>
      <w:r>
        <w:rPr>
          <w:rFonts w:hint="eastAsia" w:ascii="宋体" w:hAnsi="宋体" w:eastAsia="宋体" w:cs="宋体"/>
          <w:snapToGrid w:val="0"/>
          <w:color w:val="000000"/>
          <w:spacing w:val="-6"/>
          <w:kern w:val="0"/>
          <w:sz w:val="21"/>
          <w:szCs w:val="21"/>
        </w:rPr>
        <w:t>水泵机组应设备用泵，备用泵的供水能力不应小于最大一台运行水泵的供水能力，水泵应自动切换交替运行。</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4.1.10  </w:t>
      </w:r>
      <w:r>
        <w:rPr>
          <w:rFonts w:hint="eastAsia" w:ascii="宋体" w:hAnsi="宋体" w:eastAsia="宋体" w:cs="宋体"/>
          <w:snapToGrid w:val="0"/>
          <w:color w:val="000000"/>
          <w:spacing w:val="-6"/>
          <w:kern w:val="0"/>
          <w:sz w:val="21"/>
          <w:szCs w:val="21"/>
          <w:lang w:val="en-US" w:eastAsia="zh-CN"/>
        </w:rPr>
        <w:t>电机额定功率在11KW以下的水泵，应采用成套水泵机组。水泵机组应采取减振措施。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4.1.11</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水泵应采用自灌式吸水。</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4.1.12</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每组水泵的出水管上，应装设压力表、止回阀、阀门、水锤消除装置及所供区域标识（楼栋号、楼层号、户数）。</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rPr>
      </w:pPr>
      <w:r>
        <w:rPr>
          <w:rFonts w:hint="eastAsia" w:ascii="黑体" w:hAnsi="黑体" w:eastAsia="黑体" w:cs="黑体"/>
          <w:snapToGrid w:val="0"/>
          <w:color w:val="000000"/>
          <w:spacing w:val="-6"/>
          <w:kern w:val="0"/>
          <w:sz w:val="21"/>
          <w:szCs w:val="21"/>
          <w:lang w:val="en-US" w:eastAsia="zh-CN"/>
        </w:rPr>
        <w:t>4.1.13</w:t>
      </w:r>
      <w:r>
        <w:rPr>
          <w:rFonts w:hint="eastAsia"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rPr>
        <w:t>二次供水泵房应采用二级及以上负荷电源供电，并设置单独计量</w:t>
      </w:r>
      <w:r>
        <w:rPr>
          <w:rFonts w:hint="eastAsia" w:ascii="宋体" w:hAnsi="宋体" w:eastAsia="宋体" w:cs="宋体"/>
          <w:snapToGrid w:val="0"/>
          <w:color w:val="000000"/>
          <w:spacing w:val="-6"/>
          <w:kern w:val="0"/>
          <w:sz w:val="21"/>
          <w:szCs w:val="21"/>
          <w:lang w:eastAsia="zh-CN"/>
        </w:rPr>
        <w:t>电</w:t>
      </w:r>
      <w:r>
        <w:rPr>
          <w:rFonts w:hint="eastAsia" w:ascii="宋体" w:hAnsi="宋体" w:eastAsia="宋体" w:cs="宋体"/>
          <w:snapToGrid w:val="0"/>
          <w:color w:val="000000"/>
          <w:spacing w:val="-6"/>
          <w:kern w:val="0"/>
          <w:sz w:val="21"/>
          <w:szCs w:val="21"/>
        </w:rPr>
        <w:t>表。不允许断水的供水系统应有备用设备和电源。</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宋体" w:hAnsi="宋体" w:eastAsia="宋体" w:cs="宋体"/>
          <w:snapToGrid w:val="0"/>
          <w:color w:val="000000"/>
          <w:spacing w:val="-6"/>
          <w:kern w:val="0"/>
          <w:sz w:val="21"/>
          <w:szCs w:val="21"/>
          <w:lang w:val="en-US" w:eastAsia="zh-CN"/>
        </w:rPr>
      </w:pPr>
      <w:bookmarkStart w:id="11" w:name="_Toc19464"/>
      <w:r>
        <w:rPr>
          <w:rFonts w:hint="eastAsia" w:ascii="黑体" w:hAnsi="黑体" w:eastAsia="黑体" w:cs="黑体"/>
          <w:snapToGrid w:val="0"/>
          <w:color w:val="000000"/>
          <w:spacing w:val="-6"/>
          <w:kern w:val="0"/>
          <w:sz w:val="21"/>
          <w:szCs w:val="21"/>
          <w:lang w:val="en-US" w:eastAsia="zh-CN"/>
        </w:rPr>
        <w:t>4.2</w:t>
      </w:r>
      <w:r>
        <w:rPr>
          <w:rFonts w:hint="eastAsia" w:ascii="宋体" w:hAnsi="宋体" w:eastAsia="宋体" w:cs="宋体"/>
          <w:snapToGrid w:val="0"/>
          <w:color w:val="000000"/>
          <w:spacing w:val="-6"/>
          <w:kern w:val="0"/>
          <w:sz w:val="21"/>
          <w:szCs w:val="21"/>
          <w:lang w:val="en-US" w:eastAsia="zh-CN"/>
        </w:rPr>
        <w:t xml:space="preserve">  无负压设备要求</w:t>
      </w:r>
      <w:bookmarkEnd w:id="11"/>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在城市给水管网条件允许的情况下，可以选择管网叠压供水（包括无负压供水）形式，但不得造成城镇供水管网的水压低于该地区规定的最低供水服务压力。</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存在下列情况之一的，不应采取管网叠压供水（包括无负压供水）设施：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（1）城市供水管网直径不大于300mm，水量、水压波动过大的供水区域；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（2）用水户超过2000户的住宅小区；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（3）使用叠压供水（包括无负压供水）设备对周边（现有或规划）用户用水会造成严重影响的区域；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（4）供水保证率要求高，需要连续供水、不允许停水的用户；</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（5）供水行政主管部门及城市供水单位认定不得使用管网叠压供水（包括无负压供水）设备的其他区域。</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宋体" w:hAnsi="宋体" w:eastAsia="宋体" w:cs="宋体"/>
          <w:snapToGrid w:val="0"/>
          <w:color w:val="000000"/>
          <w:spacing w:val="-6"/>
          <w:kern w:val="0"/>
          <w:sz w:val="21"/>
          <w:szCs w:val="21"/>
          <w:lang w:val="en-US" w:eastAsia="zh-CN"/>
        </w:rPr>
      </w:pPr>
      <w:bookmarkStart w:id="12" w:name="_Toc10513"/>
      <w:r>
        <w:rPr>
          <w:rFonts w:hint="eastAsia" w:ascii="黑体" w:hAnsi="黑体" w:eastAsia="黑体" w:cs="黑体"/>
          <w:snapToGrid w:val="0"/>
          <w:color w:val="000000"/>
          <w:spacing w:val="-6"/>
          <w:kern w:val="0"/>
          <w:sz w:val="21"/>
          <w:szCs w:val="21"/>
          <w:lang w:val="en-US" w:eastAsia="zh-CN"/>
        </w:rPr>
        <w:t xml:space="preserve">4.3  </w:t>
      </w:r>
      <w:r>
        <w:rPr>
          <w:rFonts w:hint="eastAsia" w:ascii="宋体" w:hAnsi="宋体" w:eastAsia="宋体" w:cs="宋体"/>
          <w:snapToGrid w:val="0"/>
          <w:color w:val="000000"/>
          <w:spacing w:val="-6"/>
          <w:kern w:val="0"/>
          <w:sz w:val="21"/>
          <w:szCs w:val="21"/>
          <w:lang w:val="en-US" w:eastAsia="zh-CN"/>
        </w:rPr>
        <w:t>箱式无负压设备要求</w:t>
      </w:r>
      <w:bookmarkEnd w:id="12"/>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4.3.1  </w:t>
      </w:r>
      <w:r>
        <w:rPr>
          <w:rFonts w:hint="eastAsia" w:ascii="宋体" w:hAnsi="宋体" w:eastAsia="宋体" w:cs="宋体"/>
          <w:snapToGrid w:val="0"/>
          <w:color w:val="000000"/>
          <w:spacing w:val="-6"/>
          <w:kern w:val="0"/>
          <w:sz w:val="21"/>
          <w:szCs w:val="21"/>
          <w:lang w:val="en-US" w:eastAsia="zh-CN"/>
        </w:rPr>
        <w:t>水箱应设置在通风良好、不结冻的房间内。</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4.3.2</w:t>
      </w:r>
      <w:r>
        <w:rPr>
          <w:rFonts w:hint="eastAsia" w:ascii="宋体" w:hAnsi="宋体" w:eastAsia="宋体" w:cs="宋体"/>
          <w:snapToGrid w:val="0"/>
          <w:color w:val="000000"/>
          <w:spacing w:val="-6"/>
          <w:kern w:val="0"/>
          <w:sz w:val="21"/>
          <w:szCs w:val="21"/>
          <w:lang w:val="en-US" w:eastAsia="zh-CN"/>
        </w:rPr>
        <w:t xml:space="preserve">  水箱外壁与建筑本体结构墙面或其它池壁之间的净距，应符合《建筑给水排水设计规范》（GB50015）的规定，箱底部应架空并满足排水条件。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4.3.3</w:t>
      </w:r>
      <w:r>
        <w:rPr>
          <w:rFonts w:hint="eastAsia" w:ascii="宋体" w:hAnsi="宋体" w:eastAsia="宋体" w:cs="宋体"/>
          <w:snapToGrid w:val="0"/>
          <w:color w:val="000000"/>
          <w:spacing w:val="-6"/>
          <w:kern w:val="0"/>
          <w:sz w:val="21"/>
          <w:szCs w:val="21"/>
          <w:lang w:val="en-US" w:eastAsia="zh-CN"/>
        </w:rPr>
        <w:t xml:space="preserve">  水箱的容积大于50m³时，宜分为容积基本相等的两个独立水箱，并宜联通设置，实现可单独供水、可联合供水的功能。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水箱材质要求：生活泵房内的水箱应采用SUS316及以上材质。焊接材料应与水箱材质相匹配，焊缝应进行抗氧化处理。箱内壁光洁、内拉筋无毛刺、不渗漏。产品各项卫生指标均须达到《生活饮用水输配水设备及防护材料的卫生安全评价规范》(2001)相关标准。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（2）水箱参照国标图集 12S101《矩形给水箱》中“组合式不锈钢板给水箱（Ⅲ）”（P16-P18）执行；水箱板厚公差参照 GB/T3280《不锈钢冷轧钢板和钢带》（公称宽度&lt;1250mm、普通精度）标准执行，板材厚度正负公差≤5%；水箱高度若是非标，则板厚参照上一个等级执行（如水箱高度为 1.8m，则箱板厚度参照 2.0m 高水箱执行）。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（3）水箱基础及型钢底架参照国标图集 12S101《矩形给水箱》中“组合式不锈钢板给水箱（Ⅲ）”（P16-P18）执行。水箱型钢底架采用 10#热浸镀锌槽钢，其镀层应符合 GB/T 13912的规定，外涂环氧树脂防腐。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（4）水箱底板铺设：底板原则上采用整板拼装，不得采用小块拼装，水箱底板拼装要求缝隙均匀，减少板间错边。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（5）侧板组装：组装侧板先点焊一周，不能单边叠加，组装侧板防止错边和拼缝不均。四角平齐防止台阶和较大裂口，整个水箱外观拼缝横平竖直十字交叉明显。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（6）顶板：顶板拼装后要注意完整焊接，不能间断焊。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（7）拉筋：水箱内拉筋厚度应不小于其连接的壁板厚度，拉筋宜做成槽钢型，安装前去除毛刺，拉筋两端与板连接处应设置放射辅筋；筋板为 40*30mm 的不锈钢边料折成。在水箱模块逐渐拼合成水箱过程中，每一块水箱模块的四角焊缝处，都与水箱内对面水箱模块的角缝予以可靠焊接，筋板交叉处互相错开，但不弯折，保证水箱的整体强度。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（8）不锈钢水箱须有“三防”功能（防溢流、防破坏、防生物进入）。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（9）水箱焊接：常规焊缝满焊；水箱内纵向柱筋不要求与顶板、底板焊接，只与内部横向拉筋焊接，采用上、下点焊。不锈钢焊丝要求为SUS316及以上，水箱内部焊缝需做酸洗钝化处理。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（10）水箱安装完成后应做满水试验。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（11）水箱配套的消毒器安装要求：宜参照国标图集 14SS104《二次供水消毒设备》中“水箱自洁消毒器”，并且所配消毒器应符合《生活饮用水输配水设备及防护材料的卫生安全评价标准》GB/T17219。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（12）遥控浮球阀及水箱附件材质不低于食品级 SUS316，遥控浮球阀须满足《水力控制阀》CJ/T 219 的要求,结构长度应符合《水力控制阀》CJ/T 219 表 3 的规定。为便于设置高水位报警信号，水箱遥控浮球阀浮球浮起最高位置应低于水箱溢流孔溢流位置 10cm 以上。 </w:t>
      </w:r>
    </w:p>
    <w:p>
      <w:pPr>
        <w:keepNext w:val="0"/>
        <w:keepLines w:val="0"/>
        <w:pageBreakBefore w:val="0"/>
        <w:widowControl/>
        <w:tabs>
          <w:tab w:val="left" w:pos="450"/>
        </w:tabs>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（13）未尽事宜参照国标图集 12S101《矩形给水箱》要求。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4.3.4 </w:t>
      </w:r>
      <w:r>
        <w:rPr>
          <w:rFonts w:hint="eastAsia" w:ascii="宋体" w:hAnsi="宋体" w:eastAsia="宋体" w:cs="宋体"/>
          <w:snapToGrid w:val="0"/>
          <w:color w:val="000000"/>
          <w:spacing w:val="-6"/>
          <w:kern w:val="0"/>
          <w:sz w:val="21"/>
          <w:szCs w:val="21"/>
          <w:lang w:val="en-US" w:eastAsia="zh-CN"/>
        </w:rPr>
        <w:t xml:space="preserve">  水箱应设有进水管、出水管、溢流管、泄水管、人孔、通气管、爬梯和信号装置，其设置应满足下列规定：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（1）低位生活水箱进水管应设置调节流量的阀门，且不得采用淹没出流。进水管口的最低点高出溢流边缘的空气间隙应等于进水管管径，但最小不应小于25mm，最大可不大于150mm。</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（2）进、出水管布置不得产生水流短路，必要时应设导流装置。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（3）溢流管应采用水平喇叭口集水；喇叭口下的垂直管段不应小于4倍溢流管管径。溢流的管径应按能排泄水箱的最大入流量确定，并应比进水管管径大一级。</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（4）泄水管和溢流管的出口，不得直接与排水构筑物或排水管道相连接，并应有不小于0.2m的空气间隙。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（5）进水管上应安装自控阀门，水箱应设置水位监视和溢流报警装置。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（6）水箱进水阀门应配置可控自动装置，便于对高峰时段进水限制，减少对周边用户的影响。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（7）水箱高度一般不应超过3 m，不应小于1.8m；水箱内外应设不锈钢爬梯,人梯（内、外）的材料需确保人在攀梯时的承受强度，保证宽度=400mm，焊接与制作美观、光洁、牢固并做酸洗钝化处理保证安全。水箱顶板面与上面建筑本体板底的净空不应小于0.8m。</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（8）水箱人孔必须加盖、带锁、封闭严密，圆型人孔尺寸不应小于0.8m，方型人孔每边长不应小于0.8m。</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（9）水箱出水管应从侧面接出，其管底应高于水箱内底，高差不小于0.1m。</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（10）泄水管应设在水箱底部，管径不应小于DN50。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（11）通气管管径不应小于DN100。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（12）溢流管末端、通气管口应采取防蚊蝇措施。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4.3.5</w:t>
      </w:r>
      <w:r>
        <w:rPr>
          <w:rFonts w:hint="eastAsia" w:ascii="宋体" w:hAnsi="宋体" w:eastAsia="宋体" w:cs="宋体"/>
          <w:snapToGrid w:val="0"/>
          <w:color w:val="000000"/>
          <w:spacing w:val="-6"/>
          <w:kern w:val="0"/>
          <w:sz w:val="21"/>
          <w:szCs w:val="21"/>
          <w:lang w:val="en-US" w:eastAsia="zh-CN"/>
        </w:rPr>
        <w:t xml:space="preserve">  二次供水设施的水箱应设置消毒设备。其设计、安装和使用应符合国家现行有关标准的规定。消毒设备宜采用自动清洁消毒一体设备。</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3" w:name="_Toc17894"/>
      <w:r>
        <w:rPr>
          <w:rFonts w:hint="eastAsia" w:ascii="黑体" w:hAnsi="黑体" w:eastAsia="黑体" w:cs="黑体"/>
          <w:snapToGrid w:val="0"/>
          <w:color w:val="000000"/>
          <w:spacing w:val="-6"/>
          <w:kern w:val="0"/>
          <w:sz w:val="21"/>
          <w:szCs w:val="21"/>
          <w:lang w:val="en-US" w:eastAsia="zh-CN"/>
        </w:rPr>
        <w:t>4.4  管道及附属设施</w:t>
      </w:r>
      <w:bookmarkEnd w:id="13"/>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4.4.1  </w:t>
      </w:r>
      <w:r>
        <w:rPr>
          <w:rFonts w:hint="default" w:ascii="宋体" w:hAnsi="宋体" w:eastAsia="宋体" w:cs="宋体"/>
          <w:snapToGrid w:val="0"/>
          <w:color w:val="000000"/>
          <w:spacing w:val="-6"/>
          <w:kern w:val="0"/>
          <w:sz w:val="21"/>
          <w:szCs w:val="21"/>
          <w:lang w:val="en-US" w:eastAsia="zh-CN"/>
        </w:rPr>
        <w:t>管道的材质应根据供水压力、敷设场所条件和敷设方式等因素综合确定：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（1）建筑物外埋地管道管径≥DN100应采用球墨铸铁管。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（2）建筑物内水表前应采用钢塑复合管、SUS316不锈钢管。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（3）泵房内管道应采用SUS316不锈钢管、钢塑复合管。</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4.4.2  </w:t>
      </w:r>
      <w:r>
        <w:rPr>
          <w:rFonts w:hint="default" w:ascii="宋体" w:hAnsi="宋体" w:eastAsia="宋体" w:cs="宋体"/>
          <w:snapToGrid w:val="0"/>
          <w:color w:val="000000"/>
          <w:spacing w:val="-6"/>
          <w:kern w:val="0"/>
          <w:sz w:val="21"/>
          <w:szCs w:val="21"/>
          <w:lang w:val="en-US" w:eastAsia="zh-CN"/>
        </w:rPr>
        <w:t>室外埋地管道应设在便于检修和对道路交通影响较小的位置，不宜布置在车行道下，不得布置在假山、水池、雕塑等景观下方。</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4.4.3  </w:t>
      </w:r>
      <w:r>
        <w:rPr>
          <w:rFonts w:hint="default" w:ascii="宋体" w:hAnsi="宋体" w:eastAsia="宋体" w:cs="宋体"/>
          <w:snapToGrid w:val="0"/>
          <w:color w:val="000000"/>
          <w:spacing w:val="-6"/>
          <w:kern w:val="0"/>
          <w:sz w:val="21"/>
          <w:szCs w:val="21"/>
          <w:lang w:val="en-US" w:eastAsia="zh-CN"/>
        </w:rPr>
        <w:t>管道的下列部位应设置阀门：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（1）环状管段，应设置分段阀门；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（2）楼前管和单元引入管的起端；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（3）入户管、水表前、后处；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（4）水泵的吸水管；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（5）水箱的进、出水管、泄水管；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（6）自动排气阀、泄压阀、水锤消除装置、压力表等附件前，减压阀与倒流防止器的前、后端。</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4.4.4  </w:t>
      </w:r>
      <w:r>
        <w:rPr>
          <w:rFonts w:hint="default" w:ascii="宋体" w:hAnsi="宋体" w:eastAsia="宋体" w:cs="宋体"/>
          <w:snapToGrid w:val="0"/>
          <w:color w:val="000000"/>
          <w:spacing w:val="-6"/>
          <w:kern w:val="0"/>
          <w:sz w:val="21"/>
          <w:szCs w:val="21"/>
          <w:lang w:val="en-US" w:eastAsia="zh-CN"/>
        </w:rPr>
        <w:t>管道上阀门设置位置应便于操作和检修。</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4.4.5  </w:t>
      </w:r>
      <w:r>
        <w:rPr>
          <w:rFonts w:hint="default" w:ascii="宋体" w:hAnsi="宋体" w:eastAsia="宋体" w:cs="宋体"/>
          <w:snapToGrid w:val="0"/>
          <w:color w:val="000000"/>
          <w:spacing w:val="-6"/>
          <w:kern w:val="0"/>
          <w:sz w:val="21"/>
          <w:szCs w:val="21"/>
          <w:lang w:val="en-US" w:eastAsia="zh-CN"/>
        </w:rPr>
        <w:t>二次供水各分区最高点应设置自动排气阀。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4.4.6</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二次供水埋地管道的最低点应设置排水阀。</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4.4.7</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单元引入管、立管应在建筑物公共部位敷设。</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4.4.8  </w:t>
      </w:r>
      <w:r>
        <w:rPr>
          <w:rFonts w:hint="default" w:ascii="宋体" w:hAnsi="宋体" w:eastAsia="宋体" w:cs="宋体"/>
          <w:snapToGrid w:val="0"/>
          <w:color w:val="000000"/>
          <w:spacing w:val="-6"/>
          <w:kern w:val="0"/>
          <w:sz w:val="21"/>
          <w:szCs w:val="21"/>
          <w:lang w:val="en-US" w:eastAsia="zh-CN"/>
        </w:rPr>
        <w:t>住宅进户计量水表应设置在建筑物的管道井内或公共部位的水表箱内，并应采取防冻措施。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4.4.9</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管道井的尺寸，应根据管道数量、管径大小、有无分户水表、排列方式、维修条件，结合建筑平面和结构形式等合理确定。管道井内部布置3根及以下立管的平面净空尺寸不小于0.8m×0.7m；管道井内部布置3根以上立管的平面净空尺寸不小于1.2m×0.7m（超高层除外）；需进人维修管道的管井，其维修人员的工作通道净宽度不应小于0.6m。</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4.4.10  </w:t>
      </w:r>
      <w:r>
        <w:rPr>
          <w:rFonts w:hint="default" w:ascii="宋体" w:hAnsi="宋体" w:eastAsia="宋体" w:cs="宋体"/>
          <w:snapToGrid w:val="0"/>
          <w:color w:val="000000"/>
          <w:spacing w:val="-6"/>
          <w:kern w:val="0"/>
          <w:sz w:val="21"/>
          <w:szCs w:val="21"/>
          <w:lang w:val="en-US" w:eastAsia="zh-CN"/>
        </w:rPr>
        <w:t>水表箱设置位置应便于检修、读数不受曝晒、冻结、污染和机械损伤。</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4.4.11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管道井不宜设置在建筑背阴面。外廊式建筑的管道井不应靠外廊设置，当确需设置在外廊时，管道井的井壁应按照建筑外墙保温要求进行设计。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4.4.12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管道井每层楼面应封闭，检修门应为内衬保温层的自闭式密封防火门且应设置密封条。管道井内供水立管、水表等设施应采取防冻保温措施，保温材料应采用防火等级在B1级及以上等级，保温层厚度通过计算确定，并不应小于25mm。保温层外应采用双导铝箔胶带缠绕保护。</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4.4.13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二次供水管道因建筑使用要求必须设置在连廊、地下室出入口、风口等低温区域时，应采取防冻保温措施，可采用柔性橡塑保温，保温层厚度应通过计算确定，并不应低于25mm，且保温层外应设置保护层。明设或公共空间吊顶内管道应进行保温设计，设置保温层和保护层，保温层厚度计算方法参考《管道和设备保温、防结露及电伴热》（16S401）。</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4.4.14</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吊管管路及附件应固定牢固、横平竖直，支架和吊架固定牢固。弯头、三通处均应增加材质为镀锌槽钢的支、吊架。U型管卡与管道间应加装橡胶垫片。有抗震设计要求的吊管工程，应安装抗震支架，抗震支架的质量应符合国家、行业标准，并按照设计大样图安装。</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4.4.15</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管道穿越内墙楼板时，应设置套管，外墙应为防水套管。套管与管道间的缝隙，应采用弹性防火材料封堵。</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4" w:name="_Toc22409"/>
      <w:r>
        <w:rPr>
          <w:rFonts w:hint="eastAsia" w:ascii="黑体" w:hAnsi="黑体" w:eastAsia="黑体" w:cs="黑体"/>
          <w:snapToGrid w:val="0"/>
          <w:color w:val="000000"/>
          <w:spacing w:val="-6"/>
          <w:kern w:val="0"/>
          <w:sz w:val="21"/>
          <w:szCs w:val="21"/>
          <w:lang w:val="en-US" w:eastAsia="zh-CN"/>
        </w:rPr>
        <w:t>4.5  超高层二次供水技术要求</w:t>
      </w:r>
      <w:bookmarkEnd w:id="14"/>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4.5.1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超高层二次供水系统可采用水箱加变频泵、叠压（或无负压）、水泵垂直串联、泵加高位水箱等增压系统形式。</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4.5.2  </w:t>
      </w:r>
      <w:r>
        <w:rPr>
          <w:rFonts w:hint="default" w:ascii="宋体" w:hAnsi="宋体" w:eastAsia="宋体" w:cs="宋体"/>
          <w:snapToGrid w:val="0"/>
          <w:color w:val="000000"/>
          <w:spacing w:val="-6"/>
          <w:kern w:val="0"/>
          <w:sz w:val="21"/>
          <w:szCs w:val="21"/>
          <w:lang w:val="en-US" w:eastAsia="zh-CN"/>
        </w:rPr>
        <w:t>中转泵房应采取减振防噪措施，并应符合现行国家标准《建筑给水排水设计规范》（GB50015）的规定；中转泵房环境噪音应符合现行国家标准《声环境质量标准》（GB3096）和《民用建筑隔声设计规范》（GB50118）的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4.5.3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设备、管材、配件及连接方式应满足相应压力等级的要求。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4.5.4</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楼顶室外裸露管道、设备部分应有保温措施，按照《管道和设备保温、防结露及电伴热》（16S401）执行。采用柔性橡塑保温的，保温层厚度应通过计算确定，并不应低于50mm，且保温层外应设置保护层。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4.5.5</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高位水箱的排水管应采用不锈钢管，应排水通畅；楼顶面防水良好无渗漏。</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4.5.6</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高位水箱、中转泵房的进水应采用高、低液位控制，并与上一级泵房联动。</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4.5.7  </w:t>
      </w:r>
      <w:r>
        <w:rPr>
          <w:rFonts w:hint="default" w:ascii="宋体" w:hAnsi="宋体" w:eastAsia="宋体" w:cs="宋体"/>
          <w:snapToGrid w:val="0"/>
          <w:color w:val="000000"/>
          <w:spacing w:val="-6"/>
          <w:kern w:val="0"/>
          <w:sz w:val="21"/>
          <w:szCs w:val="21"/>
          <w:lang w:val="en-US" w:eastAsia="zh-CN"/>
        </w:rPr>
        <w:t>高位水箱、中转泵房电力电缆、控制电缆、信号线等均从地下泵房双电源柜、控制柜等引入，且须有备用线，所有电缆中间不得有接头。</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4.5.8  </w:t>
      </w:r>
      <w:r>
        <w:rPr>
          <w:rFonts w:hint="default" w:ascii="宋体" w:hAnsi="宋体" w:eastAsia="宋体" w:cs="宋体"/>
          <w:snapToGrid w:val="0"/>
          <w:color w:val="000000"/>
          <w:spacing w:val="-6"/>
          <w:kern w:val="0"/>
          <w:sz w:val="21"/>
          <w:szCs w:val="21"/>
          <w:lang w:val="en-US" w:eastAsia="zh-CN"/>
        </w:rPr>
        <w:t>高位水箱、中转泵房除执行上述规定，还应符合地下水箱、泵房的规定。</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15" w:name="_Toc7793"/>
      <w:r>
        <w:rPr>
          <w:rFonts w:hint="eastAsia" w:ascii="黑体" w:hAnsi="黑体" w:eastAsia="黑体" w:cs="黑体"/>
          <w:snapToGrid w:val="0"/>
          <w:color w:val="000000"/>
          <w:spacing w:val="-6"/>
          <w:kern w:val="0"/>
          <w:sz w:val="21"/>
          <w:szCs w:val="21"/>
          <w:lang w:val="en-US" w:eastAsia="zh-CN"/>
        </w:rPr>
        <w:t>5  环境与安全</w:t>
      </w:r>
      <w:bookmarkEnd w:id="15"/>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6" w:name="_Toc31153"/>
      <w:r>
        <w:rPr>
          <w:rFonts w:hint="eastAsia" w:ascii="黑体" w:hAnsi="黑体" w:eastAsia="黑体" w:cs="黑体"/>
          <w:snapToGrid w:val="0"/>
          <w:color w:val="000000"/>
          <w:spacing w:val="-6"/>
          <w:kern w:val="0"/>
          <w:sz w:val="21"/>
          <w:szCs w:val="21"/>
          <w:lang w:val="en-US" w:eastAsia="zh-CN"/>
        </w:rPr>
        <w:t>5.1  泵房设计要求</w:t>
      </w:r>
      <w:bookmarkEnd w:id="16"/>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5.3.1</w:t>
      </w:r>
      <w:r>
        <w:rPr>
          <w:rFonts w:hint="eastAsia" w:ascii="宋体" w:hAnsi="宋体" w:eastAsia="宋体" w:cs="宋体"/>
          <w:snapToGrid w:val="0"/>
          <w:color w:val="000000"/>
          <w:spacing w:val="-6"/>
          <w:kern w:val="0"/>
          <w:sz w:val="21"/>
          <w:szCs w:val="21"/>
          <w:lang w:val="en-US" w:eastAsia="zh-CN"/>
        </w:rPr>
        <w:t xml:space="preserve">  居住建筑的泵房应符合下列规定：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泵房应独立设置，不应毗邻起居室或卧室等其它有安静要求的地方，不得设置在住宅投影正下方，且上方不应有卫生间或其它可能造成水质污染的功能房间；当生活泵房设置低位水箱时，应设置在地下二层及以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泵房出入口应从公共通道直接进入，应与地下层联通且其地面不低于地下层地面。</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泵房应设置挡水门槛，或泵房门外设置截水沟，截水沟与附近集水坑联通。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（2）泵房净高度应满足水箱设计高度及安装、检修的高度要求，在建筑和结构设计时给予充分考虑。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3）设在地下室的泵房应有专用通风设施：泵房应设置通风孔并安装排风扇，设计换气通风时，其换气次数不小于6次/d，每次不小于1小时；设置集水坑，坑口采用钢板覆盖，并要求安装排污泵和液位浮球开关，单独配控制箱，排污泵至少配置两台，可自动、手动运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（4）泵房应根据泵房面积配置相应除湿设备。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（5）泵房应采取减振防噪措施。泵房环境噪音应符合现行国家标准《声环境质量标准》（GB 3096）和《民用建筑隔声设计规范》（GB50118）的要求。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6）泵房应设置独立的排水设施，包括排水沟与集水坑。排水沟应做防水涂覆，沟槽宽度≥300mm，深度≥200mm，沟内贴瓷砖，排水沟应设置不锈钢格栅，排水沟应与集水坑连通；集水坑有效容积不应小于最大一台排水泵5min的出水量，集水坑长宽≥1.5m，深度≥1.5m。泵房内地面应有不小于0.01的坡度坡向排水沟。排水设施排水能力按冲洗消毒时水箱内满水2小时内排空设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（7）泵房内不应有泵房排水设施以外的排水管穿越，配电柜、控制柜正上方不应布置水管。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（8）泵房内墙面应采用白色具有防水性能的环保墙面砖。墙裙宜铺浅色瓷砖，规格600mm×300mm，墙面满贴；泵房内地面应铺设浅色防滑砖，规格为800mm×800mm。设备基础应做贴砖处理。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（9）泵房应安装防火防盗门，其尺寸应满足搬运最大设备的需要。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（10）泵房应采用智能监控系统，事故或故障报警系统应当连接到24小时有人值守的值班点。在每个泵房内增设一个网络机柜。网络机柜内设工业级交换机（网管型）、安防数字硬盘录像机（内置 4T 监控硬盘，保证泵房内每一台摄像头可以保存录像不少于 90 天）及配电设备等器件。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 xml:space="preserve">（11）泵房进出通道及内部应安装监控系统装置。摄像头要根据泵房内部构造选择合理的安装位置（镜头前不得有遮挡物，不得安装于泵房出入门正上方），摄像头的照射范围要兼顾泵房出入口及泵房设备。并将泵房门禁信号及视频信号接入监控管理平台。为加强新建二次供水设施管理，确保二次供水成套设备安全运行，实现二次供水泵房在供水公司统一平台下的远程监控，二次供水远程控制器应采用可编程控制器。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（12）泵房应安装入侵报警系统和入口控制系统。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（13）泵房照明亮度，应按照相关国家规范和标准执行。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（14）采用叠压供水（无负压）的泵房进水总管在进入泵房后，应安装闸阀（闸阀前应无接头）、过滤器、压力表、低阻力倒流防止器；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采用水箱供水的泵房进水总管在进入泵房后，应安装闸阀（闸阀前应无接头）、压力表、过滤器。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进水管闸阀后应加装排水管及阀门，排水管应引至排水沟或集水坑。各区出水应安装流量计，其工作压力应与管道工作压力相匹配，安装应符合规范要求。</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7" w:name="_Toc11700"/>
      <w:r>
        <w:rPr>
          <w:rFonts w:hint="eastAsia" w:ascii="黑体" w:hAnsi="黑体" w:eastAsia="黑体" w:cs="黑体"/>
          <w:snapToGrid w:val="0"/>
          <w:color w:val="000000"/>
          <w:spacing w:val="-6"/>
          <w:kern w:val="0"/>
          <w:sz w:val="21"/>
          <w:szCs w:val="21"/>
          <w:lang w:val="en-US" w:eastAsia="zh-CN"/>
        </w:rPr>
        <w:t>5.2  设施维护</w:t>
      </w:r>
      <w:bookmarkEnd w:id="17"/>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5.2.1</w:t>
      </w:r>
      <w:r>
        <w:rPr>
          <w:rFonts w:hint="eastAsia" w:ascii="宋体" w:hAnsi="宋体" w:eastAsia="宋体" w:cs="宋体"/>
          <w:snapToGrid w:val="0"/>
          <w:color w:val="000000"/>
          <w:spacing w:val="-6"/>
          <w:kern w:val="0"/>
          <w:sz w:val="21"/>
          <w:szCs w:val="21"/>
          <w:lang w:val="en-US" w:eastAsia="zh-CN"/>
        </w:rPr>
        <w:t xml:space="preserve">  二次供水设施的运行、维护与管理应设立专门的管理机构并配备专职人员。</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5.2.2  </w:t>
      </w:r>
      <w:r>
        <w:rPr>
          <w:rFonts w:hint="eastAsia" w:ascii="宋体" w:hAnsi="宋体" w:eastAsia="宋体" w:cs="宋体"/>
          <w:snapToGrid w:val="0"/>
          <w:color w:val="000000"/>
          <w:spacing w:val="-6"/>
          <w:kern w:val="0"/>
          <w:sz w:val="21"/>
          <w:szCs w:val="21"/>
          <w:lang w:val="en-US" w:eastAsia="zh-CN"/>
        </w:rPr>
        <w:t xml:space="preserve">管理机构应制定二次供水的管理制度和应急预案。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5.2.3</w:t>
      </w:r>
      <w:r>
        <w:rPr>
          <w:rFonts w:hint="eastAsia" w:ascii="宋体" w:hAnsi="宋体" w:eastAsia="宋体" w:cs="宋体"/>
          <w:snapToGrid w:val="0"/>
          <w:color w:val="000000"/>
          <w:spacing w:val="-6"/>
          <w:kern w:val="0"/>
          <w:sz w:val="21"/>
          <w:szCs w:val="21"/>
          <w:lang w:val="en-US" w:eastAsia="zh-CN"/>
        </w:rPr>
        <w:t xml:space="preserve">  运行管理人员应具备相应的专业技能，熟悉二次供水设施、设备的技术性能和运行要求，并应持有健康证明。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5.2.4  </w:t>
      </w:r>
      <w:r>
        <w:rPr>
          <w:rFonts w:hint="eastAsia" w:ascii="宋体" w:hAnsi="宋体" w:eastAsia="宋体" w:cs="宋体"/>
          <w:snapToGrid w:val="0"/>
          <w:color w:val="000000"/>
          <w:spacing w:val="-6"/>
          <w:kern w:val="0"/>
          <w:sz w:val="21"/>
          <w:szCs w:val="21"/>
          <w:lang w:val="en-US" w:eastAsia="zh-CN"/>
        </w:rPr>
        <w:t>管理机构应建立健全巡检报表制度，泵房内应增加详细运行管理人员必须严格按照操作规程进行操作， 对设备的运行情况及相关仪表、阀门应按制度规定进行经常性检查， 并做好运行和维修记录。记录内容包括：交接班记录、设备运行记录、水质情况、设备维护保养记录、管网维护维修记录；应有故障或事故处理记录。</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5.2.5  </w:t>
      </w:r>
      <w:r>
        <w:rPr>
          <w:rFonts w:hint="eastAsia" w:ascii="宋体" w:hAnsi="宋体" w:eastAsia="宋体" w:cs="宋体"/>
          <w:snapToGrid w:val="0"/>
          <w:color w:val="000000"/>
          <w:spacing w:val="-6"/>
          <w:kern w:val="0"/>
          <w:sz w:val="21"/>
          <w:szCs w:val="21"/>
          <w:lang w:val="en-US" w:eastAsia="zh-CN"/>
        </w:rPr>
        <w:t xml:space="preserve">维护管理人员不得随意更改已设定的运行控制参数。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5.2.6</w:t>
      </w:r>
      <w:r>
        <w:rPr>
          <w:rFonts w:hint="eastAsia" w:ascii="宋体" w:hAnsi="宋体" w:eastAsia="宋体" w:cs="宋体"/>
          <w:snapToGrid w:val="0"/>
          <w:color w:val="000000"/>
          <w:spacing w:val="-6"/>
          <w:kern w:val="0"/>
          <w:sz w:val="21"/>
          <w:szCs w:val="21"/>
          <w:lang w:val="en-US" w:eastAsia="zh-CN"/>
        </w:rPr>
        <w:t xml:space="preserve">  二次供水设施出现故障应及时抢修，尽快恢复供水。对连续超过24小时不能正常供水的，供水单位应当向城市供水行政主管部门报告，并采取应急供水措施，以保证居民的基本生活用水需要。5</w:t>
      </w:r>
      <w:r>
        <w:rPr>
          <w:rFonts w:hint="eastAsia" w:ascii="黑体" w:hAnsi="黑体" w:eastAsia="黑体" w:cs="黑体"/>
          <w:snapToGrid w:val="0"/>
          <w:color w:val="000000"/>
          <w:spacing w:val="-6"/>
          <w:kern w:val="0"/>
          <w:sz w:val="21"/>
          <w:szCs w:val="21"/>
          <w:lang w:val="en-US" w:eastAsia="zh-CN"/>
        </w:rPr>
        <w:t xml:space="preserve">.2.7  </w:t>
      </w:r>
      <w:r>
        <w:rPr>
          <w:rFonts w:hint="eastAsia" w:ascii="宋体" w:hAnsi="宋体" w:eastAsia="宋体" w:cs="宋体"/>
          <w:snapToGrid w:val="0"/>
          <w:color w:val="000000"/>
          <w:spacing w:val="-6"/>
          <w:kern w:val="0"/>
          <w:sz w:val="21"/>
          <w:szCs w:val="21"/>
          <w:lang w:val="en-US" w:eastAsia="zh-CN"/>
        </w:rPr>
        <w:t xml:space="preserve">泵房内应整洁，严禁存放易燃、易爆、易腐蚀及可能造成环境污染的物品。泵房应保持清洁、通风，确保设备运行环境处于符合规定的湿度和温度范围。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18" w:name="_Toc32596"/>
      <w:r>
        <w:rPr>
          <w:rFonts w:hint="eastAsia" w:ascii="黑体" w:hAnsi="黑体" w:eastAsia="黑体" w:cs="黑体"/>
          <w:snapToGrid w:val="0"/>
          <w:color w:val="000000"/>
          <w:spacing w:val="-6"/>
          <w:kern w:val="0"/>
          <w:sz w:val="21"/>
          <w:szCs w:val="21"/>
          <w:lang w:val="en-US" w:eastAsia="zh-CN"/>
        </w:rPr>
        <w:t>5.3  安全运行管理</w:t>
      </w:r>
      <w:bookmarkEnd w:id="18"/>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5.3.1</w:t>
      </w:r>
      <w:r>
        <w:rPr>
          <w:rFonts w:hint="eastAsia" w:ascii="宋体" w:hAnsi="宋体" w:eastAsia="宋体" w:cs="宋体"/>
          <w:snapToGrid w:val="0"/>
          <w:color w:val="000000"/>
          <w:spacing w:val="-6"/>
          <w:kern w:val="0"/>
          <w:sz w:val="21"/>
          <w:szCs w:val="21"/>
          <w:lang w:val="en-US" w:eastAsia="zh-CN"/>
        </w:rPr>
        <w:t xml:space="preserve">  泵房门禁、门锁应无缺失，完好。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5.3.2  </w:t>
      </w:r>
      <w:r>
        <w:rPr>
          <w:rFonts w:hint="eastAsia" w:ascii="宋体" w:hAnsi="宋体" w:eastAsia="宋体" w:cs="宋体"/>
          <w:snapToGrid w:val="0"/>
          <w:color w:val="000000"/>
          <w:spacing w:val="-6"/>
          <w:kern w:val="0"/>
          <w:sz w:val="21"/>
          <w:szCs w:val="21"/>
          <w:lang w:val="en-US" w:eastAsia="zh-CN"/>
        </w:rPr>
        <w:t>二次供水设施（包含水泵设备、水箱、控制柜、管路阀门等）应定期进行卫生清洁。</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5.3.3</w:t>
      </w:r>
      <w:r>
        <w:rPr>
          <w:rFonts w:hint="eastAsia" w:ascii="宋体" w:hAnsi="宋体" w:eastAsia="宋体" w:cs="宋体"/>
          <w:snapToGrid w:val="0"/>
          <w:color w:val="000000"/>
          <w:spacing w:val="-6"/>
          <w:kern w:val="0"/>
          <w:sz w:val="21"/>
          <w:szCs w:val="21"/>
          <w:lang w:val="en-US" w:eastAsia="zh-CN"/>
        </w:rPr>
        <w:t xml:space="preserve">  水泵机组运行正常，无异响，水泵机封和止回阀无漏水。泵房内球阀、蝶阀、闸阀等应不得有渗漏、损坏。泵房内管道与卡箍连接处应完好，泵房内沿线管道应无漏水。</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5.3.4</w:t>
      </w:r>
      <w:r>
        <w:rPr>
          <w:rFonts w:hint="eastAsia" w:ascii="宋体" w:hAnsi="宋体" w:eastAsia="宋体" w:cs="宋体"/>
          <w:snapToGrid w:val="0"/>
          <w:color w:val="000000"/>
          <w:spacing w:val="-6"/>
          <w:kern w:val="0"/>
          <w:sz w:val="21"/>
          <w:szCs w:val="21"/>
          <w:lang w:val="en-US" w:eastAsia="zh-CN"/>
        </w:rPr>
        <w:t xml:space="preserve">  变频器散热器每季度至少清扫1次，清扫后应手摸无灰尘及污物。</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5.3.5  </w:t>
      </w:r>
      <w:r>
        <w:rPr>
          <w:rFonts w:hint="eastAsia" w:ascii="宋体" w:hAnsi="宋体" w:eastAsia="宋体" w:cs="宋体"/>
          <w:snapToGrid w:val="0"/>
          <w:color w:val="000000"/>
          <w:spacing w:val="-6"/>
          <w:kern w:val="0"/>
          <w:sz w:val="21"/>
          <w:szCs w:val="21"/>
          <w:lang w:val="en-US" w:eastAsia="zh-CN"/>
        </w:rPr>
        <w:t>水箱人孔锁应无缺失，完好。水箱底部及侧壁应无漏水，水箱液位计与实际水位应显示一致，水箱内部拉筋无锈蚀、断裂等情况。水箱透气孔、溢流管防虫网罩应完好，无缺失。</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5.3.6</w:t>
      </w:r>
      <w:r>
        <w:rPr>
          <w:rFonts w:hint="eastAsia" w:ascii="宋体" w:hAnsi="宋体" w:eastAsia="宋体" w:cs="宋体"/>
          <w:snapToGrid w:val="0"/>
          <w:color w:val="000000"/>
          <w:spacing w:val="-6"/>
          <w:kern w:val="0"/>
          <w:sz w:val="21"/>
          <w:szCs w:val="21"/>
          <w:lang w:val="en-US" w:eastAsia="zh-CN"/>
        </w:rPr>
        <w:t xml:space="preserve">  泵房内排水设施正常工作，并应满足排水要求（达到水箱内满水2小时排空要求），无淤塞等现象。</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heme="minorEastAsia" w:hAnsiTheme="minorEastAsia" w:eastAsiaTheme="minorEastAsia" w:cstheme="minorEastAsia"/>
          <w:b w:val="0"/>
          <w:bCs w:val="0"/>
          <w:snapToGrid w:val="0"/>
          <w:color w:val="000000"/>
          <w:spacing w:val="-6"/>
          <w:kern w:val="0"/>
          <w:sz w:val="21"/>
          <w:szCs w:val="21"/>
          <w:lang w:val="en-US" w:eastAsia="zh-CN"/>
        </w:rPr>
      </w:pPr>
      <w:r>
        <w:rPr>
          <w:rFonts w:hint="eastAsia" w:ascii="黑体" w:hAnsi="黑体" w:eastAsia="黑体" w:cs="黑体"/>
          <w:b w:val="0"/>
          <w:bCs w:val="0"/>
          <w:snapToGrid w:val="0"/>
          <w:color w:val="000000"/>
          <w:spacing w:val="-6"/>
          <w:kern w:val="0"/>
          <w:sz w:val="21"/>
          <w:szCs w:val="21"/>
          <w:lang w:val="en-US" w:eastAsia="zh-CN"/>
        </w:rPr>
        <w:t>5.3.7</w:t>
      </w:r>
      <w:r>
        <w:rPr>
          <w:rFonts w:hint="eastAsia" w:asciiTheme="minorEastAsia" w:hAnsiTheme="minorEastAsia" w:eastAsiaTheme="minorEastAsia" w:cstheme="minorEastAsia"/>
          <w:b w:val="0"/>
          <w:bCs w:val="0"/>
          <w:snapToGrid w:val="0"/>
          <w:color w:val="000000"/>
          <w:spacing w:val="-6"/>
          <w:kern w:val="0"/>
          <w:sz w:val="21"/>
          <w:szCs w:val="21"/>
          <w:lang w:val="en-US" w:eastAsia="zh-CN"/>
        </w:rPr>
        <w:t xml:space="preserve">  设置在地下室的泵房，应采取防汛和暴雨预防措施。</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5.3.8</w:t>
      </w:r>
      <w:r>
        <w:rPr>
          <w:rFonts w:hint="eastAsia" w:ascii="宋体" w:hAnsi="宋体" w:eastAsia="宋体" w:cs="宋体"/>
          <w:snapToGrid w:val="0"/>
          <w:color w:val="000000"/>
          <w:spacing w:val="-6"/>
          <w:kern w:val="0"/>
          <w:sz w:val="21"/>
          <w:szCs w:val="21"/>
          <w:lang w:val="en-US" w:eastAsia="zh-CN"/>
        </w:rPr>
        <w:t xml:space="preserve">  运行管理人员应定期分析供水情况，经常进行二次供水设备安全检查并记录，及时排除影响供水安全的各种故障隐患。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5.3.9</w:t>
      </w:r>
      <w:r>
        <w:rPr>
          <w:rFonts w:hint="eastAsia" w:ascii="宋体" w:hAnsi="宋体" w:eastAsia="宋体" w:cs="宋体"/>
          <w:snapToGrid w:val="0"/>
          <w:color w:val="000000"/>
          <w:spacing w:val="-6"/>
          <w:kern w:val="0"/>
          <w:sz w:val="21"/>
          <w:szCs w:val="21"/>
          <w:lang w:val="en-US" w:eastAsia="zh-CN"/>
        </w:rPr>
        <w:t xml:space="preserve">  水箱必须定期清洗消毒，水箱清洗可采用自动清洗或人工清洗，每季度不得少于一次，并应同时对水质进行检测。</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5.3.10</w:t>
      </w:r>
      <w:r>
        <w:rPr>
          <w:rFonts w:hint="eastAsia" w:ascii="宋体" w:hAnsi="宋体" w:eastAsia="宋体" w:cs="宋体"/>
          <w:snapToGrid w:val="0"/>
          <w:color w:val="000000"/>
          <w:spacing w:val="-6"/>
          <w:kern w:val="0"/>
          <w:sz w:val="21"/>
          <w:szCs w:val="21"/>
          <w:lang w:val="en-US" w:eastAsia="zh-CN"/>
        </w:rPr>
        <w:t xml:space="preserve">  水质检测执行《二次供水设施卫生规范》（GB17051）中的21项，水质检测记录应存档备案并公示在泵房内。</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宋体" w:hAnsi="宋体" w:eastAsia="宋体" w:cs="宋体"/>
          <w:snapToGrid w:val="0"/>
          <w:color w:val="000000"/>
          <w:spacing w:val="-6"/>
          <w:kern w:val="0"/>
          <w:sz w:val="21"/>
          <w:szCs w:val="21"/>
          <w:lang w:val="en-US" w:eastAsia="zh-CN"/>
        </w:rPr>
      </w:pPr>
      <w:bookmarkStart w:id="19" w:name="_Toc17582"/>
      <w:r>
        <w:rPr>
          <w:rFonts w:hint="eastAsia" w:ascii="黑体" w:hAnsi="黑体" w:eastAsia="黑体" w:cs="黑体"/>
          <w:snapToGrid w:val="0"/>
          <w:color w:val="000000"/>
          <w:spacing w:val="-6"/>
          <w:kern w:val="0"/>
          <w:sz w:val="21"/>
          <w:szCs w:val="21"/>
          <w:lang w:val="en-US" w:eastAsia="zh-CN"/>
        </w:rPr>
        <w:t xml:space="preserve">5.4  </w:t>
      </w:r>
      <w:r>
        <w:rPr>
          <w:rFonts w:hint="eastAsia" w:ascii="宋体" w:hAnsi="宋体" w:eastAsia="宋体" w:cs="宋体"/>
          <w:snapToGrid w:val="0"/>
          <w:color w:val="000000"/>
          <w:spacing w:val="-6"/>
          <w:kern w:val="0"/>
          <w:sz w:val="21"/>
          <w:szCs w:val="21"/>
          <w:lang w:val="en-US" w:eastAsia="zh-CN"/>
        </w:rPr>
        <w:t>设施、设备大修</w:t>
      </w:r>
      <w:bookmarkEnd w:id="19"/>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5.4.1  </w:t>
      </w:r>
      <w:r>
        <w:rPr>
          <w:rFonts w:hint="eastAsia" w:ascii="宋体" w:hAnsi="宋体" w:eastAsia="宋体" w:cs="宋体"/>
          <w:snapToGrid w:val="0"/>
          <w:color w:val="000000"/>
          <w:spacing w:val="-6"/>
          <w:kern w:val="0"/>
          <w:sz w:val="21"/>
          <w:szCs w:val="21"/>
          <w:lang w:val="en-US" w:eastAsia="zh-CN"/>
        </w:rPr>
        <w:t>水泵、电机（大修）维护根据设备运行状况确定。</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5.4.2  </w:t>
      </w:r>
      <w:r>
        <w:rPr>
          <w:rFonts w:hint="eastAsia" w:ascii="宋体" w:hAnsi="宋体" w:eastAsia="宋体" w:cs="宋体"/>
          <w:snapToGrid w:val="0"/>
          <w:color w:val="000000"/>
          <w:spacing w:val="-6"/>
          <w:kern w:val="0"/>
          <w:sz w:val="21"/>
          <w:szCs w:val="21"/>
          <w:lang w:val="en-US" w:eastAsia="zh-CN"/>
        </w:rPr>
        <w:t>设备（大修）维护要求是对二级维护中发现的二次供水存在隐患、缺陷的设备进行全部（或大部分部件）解体，更换（或修复）不合格零件，恢复设备附件及翻新外观等，从而达到全面消除设备缺陷、隐患，恢复（或接近）设备原有的工作能力和技术要求。</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20" w:name="_Toc31839"/>
      <w:r>
        <w:rPr>
          <w:rFonts w:hint="eastAsia" w:ascii="黑体" w:hAnsi="黑体" w:eastAsia="黑体" w:cs="黑体"/>
          <w:snapToGrid w:val="0"/>
          <w:color w:val="000000"/>
          <w:spacing w:val="-6"/>
          <w:kern w:val="0"/>
          <w:sz w:val="21"/>
          <w:szCs w:val="21"/>
          <w:lang w:val="en-US" w:eastAsia="zh-CN"/>
        </w:rPr>
        <w:t>6  系统和自控</w:t>
      </w:r>
      <w:bookmarkEnd w:id="20"/>
    </w:p>
    <w:p>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6.1  二次供水泵房控制设备应符合下列规定：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96" w:firstLineChars="200"/>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（1）应设定就地自动和手动控制和远程控制三种方式。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手动模式:由电气柜控制面板按钮启/停机组，满足 PLC 故障时，手动变频启动水泵，达到供水压力设定值。</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自动模式：可将一天分为多个时间段，根据供水量设置不同的工作压力，根据压力信号控制供水机组运行频率，自动投入和退出机组，发生故障自动切换到备用泵。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远程控制：可在远程监控平台远程控制水泵的启停，调节进水电动阀的开度（任意角度）。远程控制状态下具有本地复位功能。远程起停水泵时，能保证恒压供水。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（1）设备应有水压、液位、电压、频率等实时检测仪表。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（2）应具有必要的参数、状态和信号显示功能。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（3）应有过载、短路、过压、缺相、欠压、过热和缺水等故障报警及自动保护功能。对可恢复的故障应能自动或手动消除，恢复正常运行。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（4）备用泵可设定为故障自投和轮换互投。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（5）变频调速控制时，设备应能自动进行小流量运行控制。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（6）变频调速控制宜采用全变频控制，每台水泵均配置一台变频控制器，降低运行能耗。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eastAsia" w:ascii="宋体" w:hAnsi="宋体" w:eastAsia="宋体" w:cs="宋体"/>
          <w:snapToGrid w:val="0"/>
          <w:color w:val="000000"/>
          <w:spacing w:val="-6"/>
          <w:kern w:val="0"/>
          <w:sz w:val="21"/>
          <w:szCs w:val="21"/>
          <w:lang w:val="en-US" w:eastAsia="zh-CN"/>
        </w:rPr>
      </w:pPr>
      <w:r>
        <w:rPr>
          <w:rFonts w:hint="eastAsia" w:ascii="宋体" w:hAnsi="宋体" w:eastAsia="宋体" w:cs="宋体"/>
          <w:snapToGrid w:val="0"/>
          <w:color w:val="000000"/>
          <w:spacing w:val="-6"/>
          <w:kern w:val="0"/>
          <w:sz w:val="21"/>
          <w:szCs w:val="21"/>
          <w:lang w:val="en-US" w:eastAsia="zh-CN"/>
        </w:rPr>
        <w:t>（7）二次供水泵房动力电缆、照明、通讯线路、遥控装置等要采用桥架，接口要引入泵房控制柜内。</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21" w:name="_Toc23230"/>
      <w:r>
        <w:rPr>
          <w:rFonts w:hint="eastAsia" w:ascii="黑体" w:hAnsi="黑体" w:eastAsia="黑体" w:cs="黑体"/>
          <w:snapToGrid w:val="0"/>
          <w:color w:val="000000"/>
          <w:spacing w:val="-6"/>
          <w:kern w:val="0"/>
          <w:sz w:val="21"/>
          <w:szCs w:val="21"/>
          <w:lang w:val="en-US" w:eastAsia="zh-CN"/>
        </w:rPr>
        <w:t>7  监理、施工、调试和验收</w:t>
      </w:r>
      <w:bookmarkEnd w:id="21"/>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22" w:name="_Toc6459"/>
      <w:r>
        <w:rPr>
          <w:rFonts w:hint="eastAsia" w:ascii="黑体" w:hAnsi="黑体" w:eastAsia="黑体" w:cs="黑体"/>
          <w:snapToGrid w:val="0"/>
          <w:color w:val="000000"/>
          <w:spacing w:val="-6"/>
          <w:kern w:val="0"/>
          <w:sz w:val="21"/>
          <w:szCs w:val="21"/>
          <w:lang w:val="en-US" w:eastAsia="zh-CN"/>
        </w:rPr>
        <w:t>7.1  施工、监理单位要求</w:t>
      </w:r>
      <w:bookmarkEnd w:id="22"/>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7.1.1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施工单位应当严格按照《给水排水管道工程施工及验收规范》（GB50268）、《二次供水工程技术规程》（CJJ140）等规范、标准和设计文件组织施工，不得擅自修改工程设计，并对施工质量负责。施工力量、施工场地及施工机具，应具备安全施工条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7.1.2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监理单位应当依照法律、法规以及有关技术标准、设计文件和建设工程承包合同的约定实施监理，依法承担监理责任。</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7.1.3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施工单位应严格按照国家安全生产相关法律法规的要求组织施工，确保施工安全并承担相应的责任。</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23" w:name="_Toc21283"/>
      <w:r>
        <w:rPr>
          <w:rFonts w:hint="eastAsia" w:ascii="黑体" w:hAnsi="黑体" w:eastAsia="黑体" w:cs="黑体"/>
          <w:snapToGrid w:val="0"/>
          <w:color w:val="000000"/>
          <w:spacing w:val="-6"/>
          <w:kern w:val="0"/>
          <w:sz w:val="21"/>
          <w:szCs w:val="21"/>
          <w:lang w:val="en-US" w:eastAsia="zh-CN"/>
        </w:rPr>
        <w:t>7.2  供水设备安装</w:t>
      </w:r>
      <w:bookmarkEnd w:id="23"/>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7.2.1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供水设备的选型必须质量合格，并有齐全的生产许可、质量合格证明文件及质量保证文件。水箱、电控柜、水泵、阀门、消毒设备等应设有规范标牌，并标明下列内容：生产厂家、注册商标、生产日期、出厂编号。水箱应标明容积和材质。管道、阀门还应标明口径、材质。采用管网叠压（无负压）供水设备的，应具备有资质的产品质量认证机构出具的检测合格报告书。</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7.2.2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安装供水设施的房间内不得有污染，不得存放易燃、易爆及腐蚀性物品。</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7.2.3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设备的安装应按工艺要求进行，压力、液位、电压、频率等监控仪表的安装位置和方向应正确，精度等级应符合国家现行有关标准的规定，不得少装、漏装。压力传感器应安装在出水干管的振动小、水压平稳处。压力表量程选择应为工作压力的1.5～2倍。</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7.2.4  </w:t>
      </w:r>
      <w:r>
        <w:rPr>
          <w:rFonts w:hint="default" w:ascii="宋体" w:hAnsi="宋体" w:eastAsia="宋体" w:cs="宋体"/>
          <w:snapToGrid w:val="0"/>
          <w:color w:val="000000"/>
          <w:spacing w:val="-6"/>
          <w:kern w:val="0"/>
          <w:sz w:val="21"/>
          <w:szCs w:val="21"/>
          <w:lang w:val="en-US" w:eastAsia="zh-CN"/>
        </w:rPr>
        <w:t xml:space="preserve">材料和设备在安装前应核对、复验，并做好卫生清洁及防护工作。阀门安装前应按照一定比例进行取样送检。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7.2.5  </w:t>
      </w:r>
      <w:r>
        <w:rPr>
          <w:rFonts w:hint="default" w:ascii="宋体" w:hAnsi="宋体" w:eastAsia="宋体" w:cs="宋体"/>
          <w:snapToGrid w:val="0"/>
          <w:color w:val="000000"/>
          <w:spacing w:val="-6"/>
          <w:kern w:val="0"/>
          <w:sz w:val="21"/>
          <w:szCs w:val="21"/>
          <w:lang w:val="en-US" w:eastAsia="zh-CN"/>
        </w:rPr>
        <w:t xml:space="preserve">设备基础尺寸、强度应符合设计和产品要求。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7.2.6</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设备安装位置应满足安全运行、清洁消毒、维护检修要求。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7.2.7</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水泵安装应符合现行国家标准《压缩机、风机、泵安装工程施工及验收规范》（GB50275）的有关规定。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7.2.8  </w:t>
      </w:r>
      <w:r>
        <w:rPr>
          <w:rFonts w:hint="default" w:ascii="宋体" w:hAnsi="宋体" w:eastAsia="宋体" w:cs="宋体"/>
          <w:snapToGrid w:val="0"/>
          <w:color w:val="000000"/>
          <w:spacing w:val="-6"/>
          <w:kern w:val="0"/>
          <w:sz w:val="21"/>
          <w:szCs w:val="21"/>
          <w:lang w:val="en-US" w:eastAsia="zh-CN"/>
        </w:rPr>
        <w:t xml:space="preserve">电控柜（箱）的安装应符合现行国家标准《建筑电气工程施工质量验收规范》（GB50303）的有关规定。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24" w:name="_Toc32445"/>
      <w:r>
        <w:rPr>
          <w:rFonts w:hint="eastAsia" w:ascii="黑体" w:hAnsi="黑体" w:eastAsia="黑体" w:cs="黑体"/>
          <w:snapToGrid w:val="0"/>
          <w:color w:val="000000"/>
          <w:spacing w:val="-6"/>
          <w:kern w:val="0"/>
          <w:sz w:val="21"/>
          <w:szCs w:val="21"/>
          <w:lang w:val="en-US" w:eastAsia="zh-CN"/>
        </w:rPr>
        <w:t>7.3  管道施工</w:t>
      </w:r>
      <w:bookmarkEnd w:id="24"/>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7.3.1  </w:t>
      </w:r>
      <w:r>
        <w:rPr>
          <w:rFonts w:hint="default" w:ascii="宋体" w:hAnsi="宋体" w:eastAsia="宋体" w:cs="宋体"/>
          <w:snapToGrid w:val="0"/>
          <w:color w:val="000000"/>
          <w:spacing w:val="-6"/>
          <w:kern w:val="0"/>
          <w:sz w:val="21"/>
          <w:szCs w:val="21"/>
          <w:lang w:val="en-US" w:eastAsia="zh-CN"/>
        </w:rPr>
        <w:t>管道敷设应符合现行国家标准《建筑给水排水及采暖工程施工质量验收规范》（GB50242）及有关标准的规定。</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7.3.2  </w:t>
      </w:r>
      <w:r>
        <w:rPr>
          <w:rFonts w:hint="default" w:ascii="宋体" w:hAnsi="宋体" w:eastAsia="宋体" w:cs="宋体"/>
          <w:snapToGrid w:val="0"/>
          <w:color w:val="000000"/>
          <w:spacing w:val="-6"/>
          <w:kern w:val="0"/>
          <w:sz w:val="21"/>
          <w:szCs w:val="21"/>
          <w:lang w:val="en-US" w:eastAsia="zh-CN"/>
        </w:rPr>
        <w:t>通往住宅的生活给水管在安装时，不得直接敷设在建筑物结构层内，应敷设在专用的管廊内，并不应与输送易燃或有害液体、气体的管道敷设在同一个管廊内，或者从公共区域的覆土内及公共区域的地库内引入。</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7.3.3  </w:t>
      </w:r>
      <w:r>
        <w:rPr>
          <w:rFonts w:hint="default" w:ascii="宋体" w:hAnsi="宋体" w:eastAsia="宋体" w:cs="宋体"/>
          <w:snapToGrid w:val="0"/>
          <w:color w:val="000000"/>
          <w:spacing w:val="-6"/>
          <w:kern w:val="0"/>
          <w:sz w:val="21"/>
          <w:szCs w:val="21"/>
          <w:lang w:val="en-US" w:eastAsia="zh-CN"/>
        </w:rPr>
        <w:t>埋地金属管应做防腐处理。埋地钢塑复合管不应采用沟槽式连接方式。</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7.3.4</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管道安装时管道内和接口处应清洁无污物，安装过程中应严防施工碎屑落入管中，施工中断和结束后应对敞口部位采取临时封堵措施。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25" w:name="_Toc941"/>
      <w:r>
        <w:rPr>
          <w:rFonts w:hint="eastAsia" w:ascii="黑体" w:hAnsi="黑体" w:eastAsia="黑体" w:cs="黑体"/>
          <w:snapToGrid w:val="0"/>
          <w:color w:val="000000"/>
          <w:spacing w:val="-6"/>
          <w:kern w:val="0"/>
          <w:sz w:val="21"/>
          <w:szCs w:val="21"/>
          <w:lang w:val="en-US" w:eastAsia="zh-CN"/>
        </w:rPr>
        <w:t>7.4  调试</w:t>
      </w:r>
      <w:bookmarkEnd w:id="25"/>
      <w:r>
        <w:rPr>
          <w:rFonts w:hint="eastAsia" w:ascii="黑体" w:hAnsi="黑体" w:eastAsia="黑体" w:cs="黑体"/>
          <w:snapToGrid w:val="0"/>
          <w:color w:val="000000"/>
          <w:spacing w:val="-6"/>
          <w:kern w:val="0"/>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7.4.1  </w:t>
      </w:r>
      <w:r>
        <w:rPr>
          <w:rFonts w:hint="default" w:ascii="宋体" w:hAnsi="宋体" w:eastAsia="宋体" w:cs="宋体"/>
          <w:snapToGrid w:val="0"/>
          <w:color w:val="000000"/>
          <w:spacing w:val="-6"/>
          <w:kern w:val="0"/>
          <w:sz w:val="21"/>
          <w:szCs w:val="21"/>
          <w:lang w:val="en-US" w:eastAsia="zh-CN"/>
        </w:rPr>
        <w:t xml:space="preserve">设施安装完工后应按原设计要求进行系统的通电、通水调试。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管道安装完成后应分别对立管、连接管及室外管段进行水压试验。系统中不同材质的管道应分别试压。水压试验必须符合设计要求，不得用气压试验代替水压试验。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7.4.3  </w:t>
      </w:r>
      <w:r>
        <w:rPr>
          <w:rFonts w:hint="default" w:ascii="宋体" w:hAnsi="宋体" w:eastAsia="宋体" w:cs="宋体"/>
          <w:snapToGrid w:val="0"/>
          <w:color w:val="000000"/>
          <w:spacing w:val="-6"/>
          <w:kern w:val="0"/>
          <w:sz w:val="21"/>
          <w:szCs w:val="21"/>
          <w:lang w:val="en-US" w:eastAsia="zh-CN"/>
        </w:rPr>
        <w:t xml:space="preserve">金属管、复合管及塑料管管道系统的试验压力应符合现行国家标准《建筑给水排水及采暖工程施工质量验收规范》（GB50242）的规定。各种材质的管道系统试验压力应为管道工作压力的1.5倍，且不得小于0.60MPa。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7.4.4  </w:t>
      </w:r>
      <w:r>
        <w:rPr>
          <w:rFonts w:hint="default" w:ascii="宋体" w:hAnsi="宋体" w:eastAsia="宋体" w:cs="宋体"/>
          <w:snapToGrid w:val="0"/>
          <w:color w:val="000000"/>
          <w:spacing w:val="-6"/>
          <w:kern w:val="0"/>
          <w:sz w:val="21"/>
          <w:szCs w:val="21"/>
          <w:lang w:val="en-US" w:eastAsia="zh-CN"/>
        </w:rPr>
        <w:t xml:space="preserve">对不能参与试压的设备、仪表、阀门及附件应拆除或采取隔离措施。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 xml:space="preserve">7.4.5  </w:t>
      </w:r>
      <w:r>
        <w:rPr>
          <w:rFonts w:hint="default" w:ascii="宋体" w:hAnsi="宋体" w:eastAsia="宋体" w:cs="宋体"/>
          <w:snapToGrid w:val="0"/>
          <w:color w:val="000000"/>
          <w:spacing w:val="-6"/>
          <w:kern w:val="0"/>
          <w:sz w:val="21"/>
          <w:szCs w:val="21"/>
          <w:lang w:val="en-US" w:eastAsia="zh-CN"/>
        </w:rPr>
        <w:t xml:space="preserve">贮水容器应做满水试验。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7.4.6</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系统调试前应将阀门置于相应的通、断位置，并将电控装置逐级通电，工作电压应符合要求。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7.4.7</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系统调试模拟运转不应少于30min。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7.4.8</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调试后必须对供水设备、管道进行冲洗和消毒。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7.4.9</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冲洗前对系统内易损部件应进行保护或临时拆除，冲洗流速不应小于1.5m/s。消毒时，应根据二次供水设施类型和材质选择相应的消毒剂或消毒液浸泡24h。 </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7.4.10</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 xml:space="preserve">冲洗、消毒后，系统出水水质应符合现行国家标准《生活饮用水卫生标准》（GB5749）的规定。 </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outlineLvl w:val="1"/>
        <w:rPr>
          <w:rFonts w:hint="eastAsia" w:ascii="黑体" w:hAnsi="黑体" w:eastAsia="黑体" w:cs="黑体"/>
          <w:snapToGrid w:val="0"/>
          <w:color w:val="000000"/>
          <w:spacing w:val="-6"/>
          <w:kern w:val="0"/>
          <w:sz w:val="21"/>
          <w:szCs w:val="21"/>
          <w:lang w:val="en-US" w:eastAsia="zh-CN"/>
        </w:rPr>
      </w:pPr>
      <w:bookmarkStart w:id="26" w:name="_Toc25239"/>
      <w:r>
        <w:rPr>
          <w:rFonts w:hint="eastAsia" w:ascii="黑体" w:hAnsi="黑体" w:eastAsia="黑体" w:cs="黑体"/>
          <w:snapToGrid w:val="0"/>
          <w:color w:val="000000"/>
          <w:spacing w:val="-6"/>
          <w:kern w:val="0"/>
          <w:sz w:val="21"/>
          <w:szCs w:val="21"/>
          <w:lang w:val="en-US" w:eastAsia="zh-CN"/>
        </w:rPr>
        <w:t>7.5  验收 （后附表格）</w:t>
      </w:r>
      <w:bookmarkEnd w:id="26"/>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7.5.1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二次供水工程安装及调试完成，泵压、冲洗、消毒合格后，建设单位应按照《建筑工程施工质量验收统一标准》</w:t>
      </w:r>
      <w:r>
        <w:rPr>
          <w:rFonts w:hint="eastAsia" w:ascii="宋体" w:hAnsi="宋体" w:eastAsia="宋体" w:cs="宋体"/>
          <w:snapToGrid w:val="0"/>
          <w:color w:val="000000"/>
          <w:spacing w:val="-6"/>
          <w:kern w:val="0"/>
          <w:sz w:val="21"/>
          <w:szCs w:val="21"/>
          <w:lang w:val="en-US" w:eastAsia="zh-CN"/>
        </w:rPr>
        <w:t>（</w:t>
      </w:r>
      <w:r>
        <w:rPr>
          <w:rFonts w:hint="default" w:ascii="宋体" w:hAnsi="宋体" w:eastAsia="宋体" w:cs="宋体"/>
          <w:snapToGrid w:val="0"/>
          <w:color w:val="000000"/>
          <w:spacing w:val="-6"/>
          <w:kern w:val="0"/>
          <w:sz w:val="21"/>
          <w:szCs w:val="21"/>
          <w:lang w:val="en-US" w:eastAsia="zh-CN"/>
        </w:rPr>
        <w:t>GB50300</w:t>
      </w:r>
      <w:r>
        <w:rPr>
          <w:rFonts w:hint="eastAsia" w:ascii="宋体" w:hAnsi="宋体" w:eastAsia="宋体" w:cs="宋体"/>
          <w:snapToGrid w:val="0"/>
          <w:color w:val="000000"/>
          <w:spacing w:val="-6"/>
          <w:kern w:val="0"/>
          <w:sz w:val="21"/>
          <w:szCs w:val="21"/>
          <w:lang w:val="en-US" w:eastAsia="zh-CN"/>
        </w:rPr>
        <w:t>）</w:t>
      </w:r>
      <w:r>
        <w:rPr>
          <w:rFonts w:hint="default" w:ascii="宋体" w:hAnsi="宋体" w:eastAsia="宋体" w:cs="宋体"/>
          <w:snapToGrid w:val="0"/>
          <w:color w:val="000000"/>
          <w:spacing w:val="-6"/>
          <w:kern w:val="0"/>
          <w:sz w:val="21"/>
          <w:szCs w:val="21"/>
          <w:lang w:val="en-US" w:eastAsia="zh-CN"/>
        </w:rPr>
        <w:t>规定组织竣工验收，凡本市新建、扩建、改建的二次供水工程竣工验收，均应符合国家相关验收标准和本导则的技术要求。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7.5.2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验收合格后应将有关设计、施工及验收的文件立卷归档。</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7.5.3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各级供水行政主管部门按照规定的职责，负责对二次供水工程施工、竣工验收实施监督。</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40" w:lineRule="auto"/>
        <w:jc w:val="left"/>
        <w:textAlignment w:val="baseline"/>
        <w:outlineLvl w:val="0"/>
        <w:rPr>
          <w:rFonts w:hint="eastAsia" w:ascii="黑体" w:hAnsi="黑体" w:eastAsia="黑体" w:cs="黑体"/>
          <w:snapToGrid w:val="0"/>
          <w:color w:val="000000"/>
          <w:spacing w:val="-6"/>
          <w:kern w:val="0"/>
          <w:sz w:val="21"/>
          <w:szCs w:val="21"/>
          <w:lang w:val="en-US" w:eastAsia="zh-CN"/>
        </w:rPr>
      </w:pPr>
      <w:bookmarkStart w:id="27" w:name="_Toc11737"/>
      <w:r>
        <w:rPr>
          <w:rFonts w:hint="eastAsia" w:ascii="黑体" w:hAnsi="黑体" w:eastAsia="黑体" w:cs="黑体"/>
          <w:snapToGrid w:val="0"/>
          <w:color w:val="000000"/>
          <w:spacing w:val="-6"/>
          <w:kern w:val="0"/>
          <w:sz w:val="21"/>
          <w:szCs w:val="21"/>
          <w:lang w:val="en-US" w:eastAsia="zh-CN"/>
        </w:rPr>
        <w:t>8  附则</w:t>
      </w:r>
      <w:bookmarkEnd w:id="27"/>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8.1  本导则用词说明</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firstLine="396" w:firstLineChars="200"/>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执行本导则时，对要求严格程度的用词作如下规定，以便执行时区别对待。</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0"/>
        <w:rPr>
          <w:rFonts w:hint="default" w:ascii="宋体" w:hAnsi="宋体" w:eastAsia="宋体" w:cs="宋体"/>
          <w:snapToGrid w:val="0"/>
          <w:color w:val="000000"/>
          <w:spacing w:val="-6"/>
          <w:kern w:val="0"/>
          <w:sz w:val="21"/>
          <w:szCs w:val="21"/>
          <w:lang w:val="en-US" w:eastAsia="zh-CN"/>
        </w:rPr>
      </w:pPr>
      <w:bookmarkStart w:id="28" w:name="_Toc16513"/>
      <w:r>
        <w:rPr>
          <w:rFonts w:hint="eastAsia" w:ascii="黑体" w:hAnsi="黑体" w:eastAsia="黑体" w:cs="黑体"/>
          <w:snapToGrid w:val="0"/>
          <w:color w:val="000000"/>
          <w:spacing w:val="-6"/>
          <w:kern w:val="0"/>
          <w:sz w:val="21"/>
          <w:szCs w:val="21"/>
          <w:lang w:val="en-US" w:eastAsia="zh-CN"/>
        </w:rPr>
        <w:t>8.1.1</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表示很严格，非这样做不可的用词：</w:t>
      </w:r>
      <w:bookmarkEnd w:id="28"/>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正面词采用“必须”；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反面词采用“严禁”。</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0"/>
        <w:rPr>
          <w:rFonts w:hint="default" w:ascii="宋体" w:hAnsi="宋体" w:eastAsia="宋体" w:cs="宋体"/>
          <w:snapToGrid w:val="0"/>
          <w:color w:val="000000"/>
          <w:spacing w:val="-6"/>
          <w:kern w:val="0"/>
          <w:sz w:val="21"/>
          <w:szCs w:val="21"/>
          <w:lang w:val="en-US" w:eastAsia="zh-CN"/>
        </w:rPr>
      </w:pPr>
      <w:bookmarkStart w:id="29" w:name="_Toc26094"/>
      <w:r>
        <w:rPr>
          <w:rFonts w:hint="eastAsia" w:ascii="黑体" w:hAnsi="黑体" w:eastAsia="黑体" w:cs="黑体"/>
          <w:snapToGrid w:val="0"/>
          <w:color w:val="000000"/>
          <w:spacing w:val="-6"/>
          <w:kern w:val="0"/>
          <w:sz w:val="21"/>
          <w:szCs w:val="21"/>
          <w:lang w:val="en-US" w:eastAsia="zh-CN"/>
        </w:rPr>
        <w:t>8.1.2</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表示严格，在正常情况下均应这样用词：</w:t>
      </w:r>
      <w:bookmarkEnd w:id="29"/>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正面词采用“应”；</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反面词采用“不应”或“不得”。</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0"/>
        <w:rPr>
          <w:rFonts w:hint="default" w:ascii="宋体" w:hAnsi="宋体" w:eastAsia="宋体" w:cs="宋体"/>
          <w:snapToGrid w:val="0"/>
          <w:color w:val="000000"/>
          <w:spacing w:val="-6"/>
          <w:kern w:val="0"/>
          <w:sz w:val="21"/>
          <w:szCs w:val="21"/>
          <w:lang w:val="en-US" w:eastAsia="zh-CN"/>
        </w:rPr>
      </w:pPr>
      <w:bookmarkStart w:id="30" w:name="_Toc28011"/>
      <w:r>
        <w:rPr>
          <w:rFonts w:hint="eastAsia" w:ascii="黑体" w:hAnsi="黑体" w:eastAsia="黑体" w:cs="黑体"/>
          <w:snapToGrid w:val="0"/>
          <w:color w:val="000000"/>
          <w:spacing w:val="-6"/>
          <w:kern w:val="0"/>
          <w:sz w:val="21"/>
          <w:szCs w:val="21"/>
          <w:lang w:val="en-US" w:eastAsia="zh-CN"/>
        </w:rPr>
        <w:t>8.1.3</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对表示容许稍有选择，在条件许可时首先应这样做用词：</w:t>
      </w:r>
      <w:bookmarkEnd w:id="30"/>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正面词采用“宜”；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r>
        <w:rPr>
          <w:rFonts w:hint="default" w:ascii="宋体" w:hAnsi="宋体" w:eastAsia="宋体" w:cs="宋体"/>
          <w:snapToGrid w:val="0"/>
          <w:color w:val="000000"/>
          <w:spacing w:val="-6"/>
          <w:kern w:val="0"/>
          <w:sz w:val="21"/>
          <w:szCs w:val="21"/>
          <w:lang w:val="en-US" w:eastAsia="zh-CN"/>
        </w:rPr>
        <w:t>反面词采用 “不宜”。</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0"/>
        <w:rPr>
          <w:rFonts w:hint="default" w:ascii="宋体" w:hAnsi="宋体" w:eastAsia="宋体" w:cs="宋体"/>
          <w:snapToGrid w:val="0"/>
          <w:color w:val="000000"/>
          <w:spacing w:val="-6"/>
          <w:kern w:val="0"/>
          <w:sz w:val="21"/>
          <w:szCs w:val="21"/>
          <w:lang w:val="en-US" w:eastAsia="zh-CN"/>
        </w:rPr>
      </w:pPr>
      <w:bookmarkStart w:id="31" w:name="_Toc32722"/>
      <w:r>
        <w:rPr>
          <w:rFonts w:hint="eastAsia" w:ascii="黑体" w:hAnsi="黑体" w:eastAsia="黑体" w:cs="黑体"/>
          <w:snapToGrid w:val="0"/>
          <w:color w:val="000000"/>
          <w:spacing w:val="-6"/>
          <w:kern w:val="0"/>
          <w:sz w:val="21"/>
          <w:szCs w:val="21"/>
          <w:lang w:val="en-US" w:eastAsia="zh-CN"/>
        </w:rPr>
        <w:t>8.1.4</w:t>
      </w:r>
      <w:r>
        <w:rPr>
          <w:rFonts w:hint="default" w:ascii="宋体" w:hAnsi="宋体" w:eastAsia="宋体" w:cs="宋体"/>
          <w:snapToGrid w:val="0"/>
          <w:color w:val="000000"/>
          <w:spacing w:val="-6"/>
          <w:kern w:val="0"/>
          <w:sz w:val="21"/>
          <w:szCs w:val="21"/>
          <w:lang w:val="en-US" w:eastAsia="zh-CN"/>
        </w:rPr>
        <w:t xml:space="preserve"> </w:t>
      </w:r>
      <w:r>
        <w:rPr>
          <w:rFonts w:hint="eastAsia" w:ascii="宋体" w:hAnsi="宋体" w:eastAsia="宋体" w:cs="宋体"/>
          <w:snapToGrid w:val="0"/>
          <w:color w:val="000000"/>
          <w:spacing w:val="-6"/>
          <w:kern w:val="0"/>
          <w:sz w:val="21"/>
          <w:szCs w:val="21"/>
          <w:lang w:val="en-US" w:eastAsia="zh-CN"/>
        </w:rPr>
        <w:t xml:space="preserve"> </w:t>
      </w:r>
      <w:r>
        <w:rPr>
          <w:rFonts w:hint="default" w:ascii="宋体" w:hAnsi="宋体" w:eastAsia="宋体" w:cs="宋体"/>
          <w:snapToGrid w:val="0"/>
          <w:color w:val="000000"/>
          <w:spacing w:val="-6"/>
          <w:kern w:val="0"/>
          <w:sz w:val="21"/>
          <w:szCs w:val="21"/>
          <w:lang w:val="en-US" w:eastAsia="zh-CN"/>
        </w:rPr>
        <w:t>表示有选择，在一定条件下可以这样做的，采用“可”。</w:t>
      </w:r>
      <w:bookmarkEnd w:id="31"/>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jc w:val="left"/>
        <w:textAlignment w:val="baseline"/>
        <w:rPr>
          <w:rFonts w:hint="eastAsia" w:ascii="黑体" w:hAnsi="黑体" w:eastAsia="黑体" w:cs="黑体"/>
          <w:snapToGrid w:val="0"/>
          <w:color w:val="000000"/>
          <w:spacing w:val="-6"/>
          <w:kern w:val="0"/>
          <w:sz w:val="21"/>
          <w:szCs w:val="21"/>
          <w:lang w:val="en-US" w:eastAsia="zh-CN"/>
        </w:rPr>
      </w:pPr>
      <w:r>
        <w:rPr>
          <w:rFonts w:hint="eastAsia" w:ascii="黑体" w:hAnsi="黑体" w:eastAsia="黑体" w:cs="黑体"/>
          <w:snapToGrid w:val="0"/>
          <w:color w:val="000000"/>
          <w:spacing w:val="-6"/>
          <w:kern w:val="0"/>
          <w:sz w:val="21"/>
          <w:szCs w:val="21"/>
          <w:lang w:val="en-US" w:eastAsia="zh-CN"/>
        </w:rPr>
        <w:t>8.2  本导则中指明应按其他有关标准执行的写法为：“应符合……的规定”或“应按……的执行”。</w:t>
      </w:r>
    </w:p>
    <w:p>
      <w:pPr>
        <w:widowControl/>
        <w:kinsoku w:val="0"/>
        <w:autoSpaceDE w:val="0"/>
        <w:autoSpaceDN w:val="0"/>
        <w:adjustRightInd w:val="0"/>
        <w:snapToGrid w:val="0"/>
        <w:spacing w:before="289" w:line="352" w:lineRule="auto"/>
        <w:ind w:firstLine="434"/>
        <w:jc w:val="left"/>
        <w:textAlignment w:val="baseline"/>
        <w:rPr>
          <w:rFonts w:hint="default" w:ascii="宋体" w:hAnsi="宋体" w:eastAsia="宋体" w:cs="宋体"/>
          <w:snapToGrid w:val="0"/>
          <w:color w:val="000000"/>
          <w:spacing w:val="-6"/>
          <w:kern w:val="0"/>
          <w:sz w:val="21"/>
          <w:szCs w:val="21"/>
          <w:lang w:val="en-US" w:eastAsia="zh-CN"/>
        </w:rPr>
      </w:pPr>
    </w:p>
    <w:p>
      <w:pPr>
        <w:widowControl/>
        <w:kinsoku w:val="0"/>
        <w:autoSpaceDE w:val="0"/>
        <w:autoSpaceDN w:val="0"/>
        <w:adjustRightInd w:val="0"/>
        <w:snapToGrid w:val="0"/>
        <w:spacing w:before="289" w:line="352" w:lineRule="auto"/>
        <w:ind w:firstLine="434"/>
        <w:jc w:val="left"/>
        <w:textAlignment w:val="baseline"/>
        <w:outlineLvl w:val="0"/>
        <w:rPr>
          <w:rFonts w:hint="eastAsia" w:ascii="宋体" w:hAnsi="宋体" w:eastAsia="宋体" w:cs="宋体"/>
          <w:snapToGrid w:val="0"/>
          <w:color w:val="000000"/>
          <w:spacing w:val="-6"/>
          <w:kern w:val="0"/>
          <w:sz w:val="21"/>
          <w:szCs w:val="21"/>
          <w:lang w:val="en-US" w:eastAsia="zh-CN"/>
        </w:rPr>
      </w:pPr>
      <w:bookmarkStart w:id="32" w:name="_Toc23928"/>
      <w:r>
        <w:rPr>
          <w:rFonts w:hint="eastAsia" w:ascii="宋体" w:hAnsi="宋体" w:eastAsia="宋体" w:cs="宋体"/>
          <w:snapToGrid w:val="0"/>
          <w:color w:val="000000"/>
          <w:spacing w:val="-6"/>
          <w:kern w:val="0"/>
          <w:sz w:val="21"/>
          <w:szCs w:val="21"/>
          <w:lang w:val="en-US" w:eastAsia="zh-CN"/>
        </w:rPr>
        <w:t>附件  二次供水标准化泵房验收表</w:t>
      </w:r>
      <w:bookmarkEnd w:id="32"/>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ind w:firstLine="48"/>
        <w:jc w:val="left"/>
        <w:textAlignment w:val="baseline"/>
        <w:rPr>
          <w:rFonts w:hint="eastAsia" w:ascii="黑体" w:hAnsi="黑体" w:eastAsia="黑体" w:cs="黑体"/>
          <w:snapToGrid w:val="0"/>
          <w:color w:val="000000"/>
          <w:spacing w:val="-1"/>
          <w:kern w:val="0"/>
          <w:sz w:val="21"/>
          <w:szCs w:val="21"/>
          <w:lang w:val="en-US" w:eastAsia="zh-CN"/>
        </w:rPr>
      </w:pPr>
      <w:r>
        <w:rPr>
          <w:rFonts w:hint="eastAsia" w:ascii="黑体" w:hAnsi="黑体" w:eastAsia="黑体" w:cs="黑体"/>
          <w:snapToGrid w:val="0"/>
          <w:color w:val="000000"/>
          <w:spacing w:val="-1"/>
          <w:kern w:val="0"/>
          <w:sz w:val="21"/>
          <w:szCs w:val="21"/>
          <w:lang w:val="en-US" w:eastAsia="zh-CN"/>
        </w:rPr>
        <w:t xml:space="preserve">附件                   </w:t>
      </w:r>
    </w:p>
    <w:p>
      <w:pPr>
        <w:widowControl/>
        <w:kinsoku w:val="0"/>
        <w:autoSpaceDE w:val="0"/>
        <w:autoSpaceDN w:val="0"/>
        <w:adjustRightInd w:val="0"/>
        <w:snapToGrid w:val="0"/>
        <w:spacing w:before="68" w:line="186" w:lineRule="auto"/>
        <w:ind w:firstLine="48"/>
        <w:jc w:val="left"/>
        <w:textAlignment w:val="baseline"/>
        <w:rPr>
          <w:rFonts w:hint="eastAsia" w:ascii="黑体" w:hAnsi="黑体" w:eastAsia="黑体" w:cs="黑体"/>
          <w:snapToGrid w:val="0"/>
          <w:color w:val="000000"/>
          <w:spacing w:val="-1"/>
          <w:kern w:val="0"/>
          <w:sz w:val="21"/>
          <w:szCs w:val="21"/>
          <w:lang w:val="en-US" w:eastAsia="zh-CN"/>
        </w:rPr>
      </w:pPr>
    </w:p>
    <w:p>
      <w:pPr>
        <w:widowControl/>
        <w:kinsoku w:val="0"/>
        <w:autoSpaceDE w:val="0"/>
        <w:autoSpaceDN w:val="0"/>
        <w:adjustRightInd w:val="0"/>
        <w:snapToGrid w:val="0"/>
        <w:spacing w:before="68" w:line="186" w:lineRule="auto"/>
        <w:ind w:firstLine="2912" w:firstLineChars="1400"/>
        <w:jc w:val="left"/>
        <w:textAlignment w:val="baseline"/>
        <w:rPr>
          <w:rFonts w:hint="eastAsia" w:ascii="黑体" w:hAnsi="黑体" w:eastAsia="黑体" w:cs="黑体"/>
          <w:snapToGrid w:val="0"/>
          <w:color w:val="000000"/>
          <w:spacing w:val="-1"/>
          <w:kern w:val="0"/>
          <w:sz w:val="21"/>
          <w:szCs w:val="21"/>
          <w:lang w:val="en-US" w:eastAsia="zh-CN"/>
        </w:rPr>
      </w:pPr>
      <w:r>
        <w:rPr>
          <w:rFonts w:hint="eastAsia" w:ascii="黑体" w:hAnsi="黑体" w:eastAsia="黑体" w:cs="黑体"/>
          <w:snapToGrid w:val="0"/>
          <w:color w:val="000000"/>
          <w:spacing w:val="-1"/>
          <w:kern w:val="0"/>
          <w:sz w:val="21"/>
          <w:szCs w:val="21"/>
          <w:lang w:val="en-US" w:eastAsia="zh-CN"/>
        </w:rPr>
        <w:t xml:space="preserve"> 二次供水标准化泵房验收表</w:t>
      </w:r>
    </w:p>
    <w:p>
      <w:pPr>
        <w:widowControl/>
        <w:kinsoku w:val="0"/>
        <w:autoSpaceDE w:val="0"/>
        <w:autoSpaceDN w:val="0"/>
        <w:adjustRightInd w:val="0"/>
        <w:snapToGrid w:val="0"/>
        <w:spacing w:before="68" w:line="186" w:lineRule="auto"/>
        <w:ind w:firstLine="48"/>
        <w:jc w:val="left"/>
        <w:textAlignment w:val="baseline"/>
        <w:rPr>
          <w:rFonts w:hint="default" w:ascii="黑体" w:hAnsi="黑体" w:eastAsia="黑体" w:cs="黑体"/>
          <w:snapToGrid w:val="0"/>
          <w:color w:val="000000"/>
          <w:spacing w:val="-1"/>
          <w:kern w:val="0"/>
          <w:sz w:val="21"/>
          <w:szCs w:val="2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559"/>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1" w:type="dxa"/>
            <w:tcBorders>
              <w:bottom w:val="single" w:color="auto" w:sz="4" w:space="0"/>
            </w:tcBorders>
            <w:vAlign w:val="center"/>
          </w:tcPr>
          <w:p>
            <w:pPr>
              <w:widowControl/>
              <w:kinsoku w:val="0"/>
              <w:autoSpaceDE w:val="0"/>
              <w:autoSpaceDN w:val="0"/>
              <w:adjustRightInd w:val="0"/>
              <w:snapToGrid w:val="0"/>
              <w:spacing w:before="238" w:line="186" w:lineRule="auto"/>
              <w:jc w:val="both"/>
              <w:textAlignment w:val="baseline"/>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pPr>
            <w:r>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t>验收</w:t>
            </w:r>
          </w:p>
          <w:p>
            <w:pPr>
              <w:widowControl/>
              <w:kinsoku w:val="0"/>
              <w:autoSpaceDE w:val="0"/>
              <w:autoSpaceDN w:val="0"/>
              <w:adjustRightInd w:val="0"/>
              <w:snapToGrid w:val="0"/>
              <w:spacing w:before="238" w:line="186" w:lineRule="auto"/>
              <w:jc w:val="both"/>
              <w:textAlignment w:val="baseline"/>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pPr>
            <w:r>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t>项目</w:t>
            </w:r>
          </w:p>
        </w:tc>
        <w:tc>
          <w:tcPr>
            <w:tcW w:w="7559" w:type="dxa"/>
            <w:vAlign w:val="center"/>
          </w:tcPr>
          <w:p>
            <w:pPr>
              <w:widowControl/>
              <w:kinsoku w:val="0"/>
              <w:autoSpaceDE w:val="0"/>
              <w:autoSpaceDN w:val="0"/>
              <w:adjustRightInd w:val="0"/>
              <w:snapToGrid w:val="0"/>
              <w:spacing w:before="238" w:line="186" w:lineRule="auto"/>
              <w:ind w:firstLine="322"/>
              <w:jc w:val="center"/>
              <w:textAlignment w:val="baseline"/>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pPr>
            <w:r>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t>验收标准</w:t>
            </w:r>
          </w:p>
        </w:tc>
        <w:tc>
          <w:tcPr>
            <w:tcW w:w="748" w:type="dxa"/>
            <w:vAlign w:val="center"/>
          </w:tcPr>
          <w:p>
            <w:pPr>
              <w:widowControl/>
              <w:kinsoku w:val="0"/>
              <w:autoSpaceDE w:val="0"/>
              <w:autoSpaceDN w:val="0"/>
              <w:adjustRightInd w:val="0"/>
              <w:snapToGrid w:val="0"/>
              <w:spacing w:before="238" w:line="186" w:lineRule="auto"/>
              <w:jc w:val="both"/>
              <w:textAlignment w:val="baseline"/>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pPr>
            <w:r>
              <w:rPr>
                <w:rFonts w:hint="eastAsia" w:ascii="楷体" w:hAnsi="楷体" w:eastAsia="楷体" w:cs="楷体"/>
                <w:snapToGrid w:val="0"/>
                <w:color w:val="000000"/>
                <w:spacing w:val="-1"/>
                <w:kern w:val="0"/>
                <w:sz w:val="21"/>
                <w:szCs w:val="21"/>
                <w:lang w:val="en-US" w:eastAsia="zh-CN"/>
                <w14:textOutline w14:w="3831" w14:cap="flat" w14:cmpd="sng">
                  <w14:solidFill>
                    <w14:srgbClr w14:val="000000"/>
                  </w14:solidFill>
                  <w14:prstDash w14:val="solid"/>
                  <w14:miter w14:val="0"/>
                </w14:textOutline>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1"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水泵机组</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品牌应符合二次供水成套设备招标文件要求</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参数应与审核报告及备案确认表一致</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铭牌应清晰完整，表面完好，无锈蚀，各种标识清晰</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水泵机组应设置橡胶隔振垫</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橡胶软连接采用法兰与管道连接</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水泵出水管应设置压力表、阀门和止回阀</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水泵出水管最低点应加装排水管和阀门</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01" w:type="dxa"/>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压力变送器</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安装在各区出水总管的振动小、水压平稳处</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机组基础</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水泵槽钢基础、隔膜气压罐应用螺栓与基础牢固</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水泵与底座的固定要牢固</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气压罐</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符合招标文件要求，设置压力表及检修阀</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铭牌应注明：设计压力、容积、生产日期、制造许可证</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气水密封性检测合格</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稳流罐</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无负压稳流补偿器应采用SUS</w:t>
            </w:r>
            <w:r>
              <w:rPr>
                <w:rFonts w:hint="eastAsia" w:ascii="宋体" w:cs="Arial"/>
                <w:snapToGrid w:val="0"/>
                <w:color w:val="000000"/>
                <w:kern w:val="0"/>
                <w:sz w:val="21"/>
                <w:szCs w:val="21"/>
                <w:lang w:val="en-US" w:eastAsia="zh-CN"/>
              </w:rPr>
              <w:t>316</w:t>
            </w:r>
            <w:r>
              <w:rPr>
                <w:rFonts w:hint="eastAsia" w:ascii="宋体" w:hAnsi="Arial" w:eastAsia="Arial" w:cs="Arial"/>
                <w:snapToGrid w:val="0"/>
                <w:color w:val="000000"/>
                <w:kern w:val="0"/>
                <w:sz w:val="21"/>
                <w:szCs w:val="21"/>
                <w:lang w:val="en-US" w:eastAsia="zh-CN"/>
              </w:rPr>
              <w:t>不锈钢材质，壁厚≥4mm</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稳流补偿罐在最低点处应设置排水阀门口径不低于DN40</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水箱</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材质不低于不锈钢</w:t>
            </w:r>
            <w:r>
              <w:rPr>
                <w:rFonts w:hint="eastAsia" w:ascii="宋体" w:hAnsi="Arial" w:eastAsia="Arial" w:cs="Arial"/>
                <w:snapToGrid w:val="0"/>
                <w:color w:val="000000"/>
                <w:kern w:val="0"/>
                <w:sz w:val="21"/>
                <w:szCs w:val="21"/>
                <w:lang w:val="en-US" w:eastAsia="zh-CN"/>
              </w:rPr>
              <w:t>SUS316</w:t>
            </w:r>
            <w:r>
              <w:rPr>
                <w:rFonts w:ascii="宋体" w:hAnsi="Arial" w:eastAsia="Arial" w:cs="Arial"/>
                <w:snapToGrid w:val="0"/>
                <w:color w:val="000000"/>
                <w:kern w:val="0"/>
                <w:sz w:val="21"/>
                <w:szCs w:val="21"/>
              </w:rPr>
              <w:t>，内拉筋应做卷边或钝化处理</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现场尺寸应与设计一致，板材厚度应满足图集要求</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容积大于50m3时，应分为基本相等的两座，并能独立工作</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水箱高度不应大于3米，不宜小于1.8米</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爬梯</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内外应设不锈钢爬梯（侧开孔水箱不需设内爬梯）</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爬梯须符合图集要求</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人孔</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上开孔水箱人孔必须加盖带锁，直径不小于0.8m</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侧开孔水箱人孔须内开，其尺寸要求为730×630mm</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基础</w:t>
            </w: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高度≥0.5m，找平后应二次采用水泥砂浆塞实</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型钢底架采用10#热浸镀锌槽钢，外涂环氧树脂防腐</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管道布置</w:t>
            </w:r>
          </w:p>
        </w:tc>
        <w:tc>
          <w:tcPr>
            <w:tcW w:w="7559" w:type="dxa"/>
            <w:tcBorders>
              <w:left w:val="single" w:color="auto" w:sz="4" w:space="0"/>
            </w:tcBorders>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进水管口底应在溢流水位之上100mm</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进水管与出水管必须采用相对方向设置</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tcBorders>
              <w:left w:val="single" w:color="auto" w:sz="4" w:space="0"/>
            </w:tcBorders>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进水管与排水口采用相对方向设置，应有坡度流向排水口</w:t>
            </w:r>
          </w:p>
        </w:tc>
        <w:tc>
          <w:tcPr>
            <w:tcW w:w="748"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Borders>
              <w:left w:val="single" w:color="auto" w:sz="4" w:space="0"/>
              <w:right w:val="single" w:color="auto" w:sz="4" w:space="0"/>
            </w:tcBorders>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溢流管、排水管出口不得与排水系统直接连接并应有不小于0.2m的空气间隙</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1" w:type="dxa"/>
            <w:vMerge w:val="continue"/>
            <w:tcBorders>
              <w:left w:val="single" w:color="auto" w:sz="4" w:space="0"/>
              <w:right w:val="single" w:color="auto" w:sz="4" w:space="0"/>
            </w:tcBorders>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溢流管管径一般应比进水管管径大一级</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01" w:type="dxa"/>
            <w:vMerge w:val="continue"/>
            <w:tcBorders>
              <w:left w:val="single" w:color="auto" w:sz="4" w:space="0"/>
              <w:right w:val="single" w:color="auto" w:sz="4" w:space="0"/>
            </w:tcBorders>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溢流口应高出最高水位50mm，管尾应装防虫网罩</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1" w:type="dxa"/>
            <w:vMerge w:val="continue"/>
            <w:tcBorders>
              <w:left w:val="single" w:color="auto" w:sz="4" w:space="0"/>
              <w:right w:val="single" w:color="auto" w:sz="4" w:space="0"/>
            </w:tcBorders>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防虫网罩使用不锈钢并用卡箍固定，网孔约2.4×2.4mm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透气管</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管径一般为100―150mm，且不应少于2根</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管尾的防虫网罩同溢流管</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消毒装置</w:t>
            </w:r>
          </w:p>
        </w:tc>
        <w:tc>
          <w:tcPr>
            <w:tcW w:w="7559"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符合图纸设计要求，且为备案品牌</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1"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浮球阀</w:t>
            </w:r>
          </w:p>
        </w:tc>
        <w:tc>
          <w:tcPr>
            <w:tcW w:w="7559" w:type="dxa"/>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SUS</w:t>
            </w:r>
            <w:r>
              <w:rPr>
                <w:rFonts w:hint="eastAsia" w:ascii="宋体" w:cs="Arial"/>
                <w:snapToGrid w:val="0"/>
                <w:color w:val="000000"/>
                <w:kern w:val="0"/>
                <w:sz w:val="21"/>
                <w:szCs w:val="21"/>
                <w:lang w:val="en-US" w:eastAsia="zh-CN"/>
              </w:rPr>
              <w:t>316</w:t>
            </w:r>
            <w:r>
              <w:rPr>
                <w:rFonts w:hint="eastAsia" w:ascii="宋体" w:hAnsi="Arial" w:eastAsia="Arial" w:cs="Arial"/>
                <w:snapToGrid w:val="0"/>
                <w:color w:val="000000"/>
                <w:kern w:val="0"/>
                <w:sz w:val="21"/>
                <w:szCs w:val="21"/>
                <w:lang w:val="en-US" w:eastAsia="zh-CN"/>
              </w:rPr>
              <w:t>以上全不锈钢材质，上开孔水箱安装在人孔边能触及的位置，侧开孔水箱浮球阀应与箱体法兰连接</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安装</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固定牢固，无渗漏及异常变形</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水箱液位指示选用磁浮子液位计，垂直安装</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主导管、浮子、排污阀及法兰材质均选用食品级</w:t>
            </w:r>
            <w:r>
              <w:rPr>
                <w:rFonts w:hint="eastAsia" w:ascii="宋体" w:eastAsia="宋体" w:cs="Arial"/>
                <w:snapToGrid w:val="0"/>
                <w:color w:val="000000"/>
                <w:kern w:val="0"/>
                <w:sz w:val="21"/>
                <w:szCs w:val="21"/>
                <w:lang w:eastAsia="zh-CN"/>
              </w:rPr>
              <w:t>316</w:t>
            </w:r>
            <w:r>
              <w:rPr>
                <w:rFonts w:ascii="宋体" w:hAnsi="Arial" w:eastAsia="Arial" w:cs="Arial"/>
                <w:snapToGrid w:val="0"/>
                <w:color w:val="000000"/>
                <w:kern w:val="0"/>
                <w:sz w:val="21"/>
                <w:szCs w:val="21"/>
              </w:rPr>
              <w:t>及以上</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管道及阀门基本要求</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材质为SUS</w:t>
            </w:r>
            <w:r>
              <w:rPr>
                <w:rFonts w:hint="eastAsia" w:ascii="宋体" w:eastAsia="宋体" w:cs="Arial"/>
                <w:snapToGrid w:val="0"/>
                <w:color w:val="000000"/>
                <w:kern w:val="0"/>
                <w:sz w:val="21"/>
                <w:szCs w:val="21"/>
                <w:lang w:eastAsia="zh-CN"/>
              </w:rPr>
              <w:t>316</w:t>
            </w:r>
            <w:r>
              <w:rPr>
                <w:rFonts w:ascii="宋体" w:hAnsi="Arial" w:eastAsia="Arial" w:cs="Arial"/>
                <w:snapToGrid w:val="0"/>
                <w:color w:val="000000"/>
                <w:kern w:val="0"/>
                <w:sz w:val="21"/>
                <w:szCs w:val="21"/>
              </w:rPr>
              <w:t>不锈钢</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品牌在合格供应商目录内</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工作压力与水泵工作压力相匹配</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进、出水管管径及现场安装连接方式应与设计图纸相符</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管路附件</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管路、附件、支架和吊架应固定牢固、横平竖直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焊缝质量应合格，弯头、三通处均应增加支、吊架</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U型管卡与管道间应加装橡胶垫片</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管件必须用蓝色给水配件，禁用橘黄色消防配件代替</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套管</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管道穿墙时应加穿墙套管，外墙应为防水套管</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管道与套管间应采用柔性材料塞实</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铭牌</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铭牌标志内容应符合国家标准《通用阀门标志》规定</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阀门安装时铭牌应方便查看</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安装</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水泵出水汇流总管后检修阀门应为明杆闸阀</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水泵进出水检修阀应为眀杆闸阀</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阀门的安装位置应方便操作、检修</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口径≥DN100的阀门、过滤器、倒流防止器加装支架或吊架</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过滤器和倒流防止器必须安装在水平管道上</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法兰螺栓不得隔花安装，且应采用不锈钢螺栓</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柜体安装时宜高出地面30cm以上且应与地面安装牢固</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底座周围应采取封闭措施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配电柜和控制柜前面通道宽度不宜小于1.5米</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控制柜、桥架、水泵机组均应接地良好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控制柜基本要求</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所有线缆从底部进入控制柜</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元器件配置与备案清单一致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柜内电气原件良好，安装整齐、接线牢固、方便拆装检修</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柜门内侧必须贴有电气原理图，采用塑封防水密封。</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触摸屏应具有自动黑屏屏保功能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能显示当前供水压力、水箱水位、水泵工作状态等</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能具备人工设置、调节控制水泵机组所有参数等功能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控制功能</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系统应具备手动控制和自动控制及远程控制功能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控制功能应不低于二次供水成套设备招标文件要求</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采用远程监控系统，符合二次供水成套设备招标文件要求</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进水电动阀开关信号接至控制柜面板、故障信号自动报警</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电源</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rPr>
              <w:t>采用三相五线电源，即三相火线（L1、L2、L3）、零线（N）、保护接地线（PE）</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rPr>
            </w:pPr>
            <w:r>
              <w:rPr>
                <w:rFonts w:hint="eastAsia" w:ascii="宋体" w:hAnsi="Arial" w:eastAsia="Arial" w:cs="Arial"/>
                <w:snapToGrid w:val="0"/>
                <w:color w:val="000000"/>
                <w:kern w:val="0"/>
                <w:sz w:val="21"/>
                <w:szCs w:val="21"/>
              </w:rPr>
              <w:t>零线必须接到控制柜内部的零线铜排，保护接地线必须接</w:t>
            </w:r>
          </w:p>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rPr>
              <w:t>到接地铜排</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rPr>
              <w:t>采用双电源或双回路供电方式</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rPr>
              <w:t>泵房应按二级及以上负荷取电，设独立电表</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rPr>
              <w:t>超高区泵房用电应独立计量</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系统容量应满足所有水泵同时长时间工作需要</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排风机、排水泵、照明、插座、检修等用电需单独取电</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双电源柜</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防护等级达到IP55以上防护灰及防护喷水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所有线缆从底部进入</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须张贴“防触电”警示牌</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末端应设自动切换装置</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双电源转换开关具备15s以上延时功能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泵房进线配电柜应设能测多次谐波的电量表</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动力电缆截面积按电机长期工作工况选择，考虑谐波电流</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线缆基本要求</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动力电缆及控制电缆均采用铜芯电缆，且中间不得有接头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不同电压等级的信号、控制回路不应合用一根电缆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弱电回路每一对往返导线，应属于同一根电缆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电机电缆采用变频电缆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不得超过变频器厂家规定的最长使用长度</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开关量信号宜选用总屏蔽电缆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模拟量信号宜选用对绞线芯分屏蔽复合总屏蔽电缆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桥架</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桥架之间要有铜编织线连接，并连接到保护接地上</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所有电力电缆和控制信号电缆均应进入桥架</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电缆铺设</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动力电缆及控制、信号电缆采用封闭式桥架或穿管敷设</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穿管敷设时，管的内径不宜小于电缆外径的1.5倍</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电缆的敷设不得影响设备和管道维护</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电力电缆与非电力电缆应分开布置，其间距满足规范要求</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进出水</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进水总管在进入泵房1米左右安装闸阀、过滤器、电动阀</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闸阀后加装排水管及阀门，排水管应引至排水沟或集水坑</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出水管安装流量计，其后安装检修阀门</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排水</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排水沟宽度≥300mm，深度≥200mm，集水坑宜同层设置于泵房外。</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地面应有不小于0.01的坡度流向排水设施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排水能力按水箱满水2小时内排空设计</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排水泵双浮球控制，有手动和自动启动功能</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高水位启动1台，超高水位启动2台</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排水泵运行正常、管路通畅</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设备布局</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水泵基础应高于地面30cm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水泵基础边缘比泵机组底座宽0.1m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水泵机组外廓面与墙面之间间距≥0.8m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相邻机组外廓面之间间距≥0.4m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主要通道宽度≥1.2m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水箱外壁与墙面之间的净距，无管道一侧，不应小于0.7m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水箱外壁与墙面之间的净距，有管道一侧，不应小于1.0m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管道外壁与墙面之间的通道宽度不应小于0.6m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水箱开孔侧外壁至墙面间距不小于1.2m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各单体水箱之间的净距≥0.7m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人孔至建筑结构最低点的净距≥0.8m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土建</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不应毗邻起居室或卧室</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上方不应有厕所、浴室、盥洗室、厨房、污水处理间等</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不宜毗邻电气用房或在其上方</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应为单独墙体隔间，与消防泵房隔离</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出入口应从公共通道直接进入</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应与地库联通且不低于地库地面</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环境装修</w:t>
            </w: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墙壁及地面无渗漏</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地面采用0.</w:t>
            </w:r>
            <w:r>
              <w:rPr>
                <w:rFonts w:hint="eastAsia" w:ascii="宋体" w:hAnsi="Arial" w:eastAsia="Arial" w:cs="Arial"/>
                <w:snapToGrid w:val="0"/>
                <w:color w:val="000000"/>
                <w:kern w:val="0"/>
                <w:sz w:val="21"/>
                <w:szCs w:val="21"/>
                <w:lang w:val="en-US" w:eastAsia="zh-CN"/>
              </w:rPr>
              <w:t>8</w:t>
            </w:r>
            <w:r>
              <w:rPr>
                <w:rFonts w:ascii="宋体" w:hAnsi="Arial" w:eastAsia="Arial" w:cs="Arial"/>
                <w:snapToGrid w:val="0"/>
                <w:color w:val="000000"/>
                <w:kern w:val="0"/>
                <w:sz w:val="21"/>
                <w:szCs w:val="21"/>
              </w:rPr>
              <w:t>*0.</w:t>
            </w:r>
            <w:r>
              <w:rPr>
                <w:rFonts w:hint="eastAsia" w:ascii="宋体" w:hAnsi="Arial" w:eastAsia="Arial" w:cs="Arial"/>
                <w:snapToGrid w:val="0"/>
                <w:color w:val="000000"/>
                <w:kern w:val="0"/>
                <w:sz w:val="21"/>
                <w:szCs w:val="21"/>
                <w:lang w:val="en-US" w:eastAsia="zh-CN"/>
              </w:rPr>
              <w:t>8</w:t>
            </w:r>
            <w:r>
              <w:rPr>
                <w:rFonts w:ascii="宋体" w:hAnsi="Arial" w:eastAsia="Arial" w:cs="Arial"/>
                <w:snapToGrid w:val="0"/>
                <w:color w:val="000000"/>
                <w:kern w:val="0"/>
                <w:sz w:val="21"/>
                <w:szCs w:val="21"/>
              </w:rPr>
              <w:t>m尺寸的浅色防滑瓷砖，墙面墙裙采用同色瓷砖铺贴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r>
              <w:rPr>
                <w:rFonts w:ascii="宋体" w:hAnsi="Arial" w:eastAsia="Arial" w:cs="Arial"/>
                <w:snapToGrid w:val="0"/>
                <w:color w:val="000000"/>
                <w:kern w:val="0"/>
                <w:sz w:val="21"/>
                <w:szCs w:val="21"/>
              </w:rPr>
              <w:t>安装不低于2.2*1.2m尺寸的防火防盗门，设置活动式不锈</w:t>
            </w:r>
          </w:p>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钢防鼠板，高度为0.5m</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节能照明防爆防潮，亮度不低于100LX</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通风良好，有温、湿度表</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ascii="宋体" w:hAnsi="Arial" w:eastAsia="Arial" w:cs="Arial"/>
                <w:snapToGrid w:val="0"/>
                <w:color w:val="000000"/>
                <w:kern w:val="0"/>
                <w:sz w:val="21"/>
                <w:szCs w:val="21"/>
              </w:rPr>
              <w:t>标识</w:t>
            </w: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泵房信息牌、公示栏按照规范安装</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泵房内应用标牌注明供水分区及供水范围</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进出水管应用箭头标明水流方向，出水管各分区按照规范标识不同色环。其中加压1区为蓝色、加压2区为黄色</w:t>
            </w:r>
            <w:r>
              <w:rPr>
                <w:rFonts w:hint="eastAsia" w:ascii="宋体" w:hAnsi="Arial" w:eastAsia="Arial" w:cs="Arial"/>
                <w:snapToGrid w:val="0"/>
                <w:color w:val="000000"/>
                <w:kern w:val="0"/>
                <w:sz w:val="21"/>
                <w:szCs w:val="21"/>
                <w:lang w:eastAsia="zh-CN"/>
              </w:rPr>
              <w:t>、</w:t>
            </w:r>
            <w:r>
              <w:rPr>
                <w:rFonts w:ascii="宋体" w:hAnsi="Arial" w:eastAsia="Arial" w:cs="Arial"/>
                <w:snapToGrid w:val="0"/>
                <w:color w:val="000000"/>
                <w:kern w:val="0"/>
                <w:sz w:val="21"/>
                <w:szCs w:val="21"/>
              </w:rPr>
              <w:t>加压3区为橙色、加压4区为红色。</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泵房内设置巡检路线行进标识于走道中间贴绿色箭头来指明方向</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水泵机组、水箱、控制柜基础于地面连接处，在地面用宽度为 50mm 的黑、黄两色斜相间的警示光标纸带黏贴标识警戒线</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泵房带有强电、旋转机械部位、尖锐部件等危险部位应设有明显的警告标识</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设备及水箱铭牌应符合卫生安全规范要求</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restart"/>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r>
              <w:rPr>
                <w:rFonts w:hint="eastAsia" w:ascii="宋体" w:hAnsi="Arial" w:eastAsia="Arial" w:cs="Arial"/>
                <w:snapToGrid w:val="0"/>
                <w:color w:val="000000"/>
                <w:kern w:val="0"/>
                <w:sz w:val="21"/>
                <w:szCs w:val="21"/>
                <w:lang w:val="en-US" w:eastAsia="zh-CN"/>
              </w:rPr>
              <w:t>安全</w:t>
            </w: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泵房内无其他管道穿越</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配电柜、控制柜及机组设备上方无水管</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泵房内入口处应放置灭火器</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一个计算单元内灭火器数量不应少于2具</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泵房内应设总等电位联结板，与进线配电箱（柜）PE母排</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门禁、远程监控摄像头、对讲系统按照设计规范安装</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vMerge w:val="continue"/>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c>
          <w:tcPr>
            <w:tcW w:w="7559" w:type="dxa"/>
            <w:vAlign w:val="top"/>
          </w:tcPr>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r>
              <w:rPr>
                <w:rFonts w:ascii="宋体" w:hAnsi="Arial" w:eastAsia="Arial" w:cs="Arial"/>
                <w:snapToGrid w:val="0"/>
                <w:color w:val="000000"/>
                <w:kern w:val="0"/>
                <w:sz w:val="21"/>
                <w:szCs w:val="21"/>
              </w:rPr>
              <w:t>进出水管、排水管、水箱、水泵机组、外壳；建筑物金属</w:t>
            </w: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lang w:val="en-US" w:eastAsia="en-US"/>
              </w:rPr>
            </w:pPr>
            <w:r>
              <w:rPr>
                <w:rFonts w:ascii="宋体" w:hAnsi="Arial" w:eastAsia="Arial" w:cs="Arial"/>
                <w:snapToGrid w:val="0"/>
                <w:color w:val="000000"/>
                <w:kern w:val="0"/>
                <w:sz w:val="21"/>
                <w:szCs w:val="21"/>
              </w:rPr>
              <w:t>结构、建筑物接地装置等导电部分互相连通，图纸中需明确表示。</w:t>
            </w:r>
          </w:p>
        </w:tc>
        <w:tc>
          <w:tcPr>
            <w:tcW w:w="0" w:type="auto"/>
            <w:vAlign w:val="center"/>
          </w:tcPr>
          <w:p>
            <w:pPr>
              <w:widowControl/>
              <w:kinsoku w:val="0"/>
              <w:autoSpaceDE w:val="0"/>
              <w:autoSpaceDN w:val="0"/>
              <w:adjustRightInd w:val="0"/>
              <w:snapToGrid w:val="0"/>
              <w:spacing w:line="290" w:lineRule="auto"/>
              <w:jc w:val="left"/>
              <w:textAlignment w:val="baseline"/>
              <w:rPr>
                <w:rFonts w:hint="eastAsia" w:ascii="宋体" w:hAnsi="Arial" w:eastAsia="Arial" w:cs="Arial"/>
                <w:snapToGrid w:val="0"/>
                <w:color w:val="000000"/>
                <w:kern w:val="0"/>
                <w:sz w:val="21"/>
                <w:szCs w:val="21"/>
                <w:lang w:val="en-US" w:eastAsia="zh-CN"/>
              </w:rPr>
            </w:pPr>
          </w:p>
        </w:tc>
      </w:tr>
    </w:tbl>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widowControl/>
        <w:kinsoku w:val="0"/>
        <w:autoSpaceDE w:val="0"/>
        <w:autoSpaceDN w:val="0"/>
        <w:adjustRightInd w:val="0"/>
        <w:snapToGrid w:val="0"/>
        <w:spacing w:line="290" w:lineRule="auto"/>
        <w:jc w:val="left"/>
        <w:textAlignment w:val="baseline"/>
        <w:rPr>
          <w:rFonts w:ascii="宋体" w:hAnsi="Arial" w:eastAsia="Arial" w:cs="Arial"/>
          <w:snapToGrid w:val="0"/>
          <w:color w:val="000000"/>
          <w:kern w:val="0"/>
          <w:sz w:val="21"/>
          <w:szCs w:val="21"/>
        </w:rPr>
      </w:pPr>
    </w:p>
    <w:p>
      <w:pPr>
        <w:spacing w:before="41" w:line="186" w:lineRule="auto"/>
        <w:rPr>
          <w:rFonts w:ascii="黑体" w:hAnsi="黑体" w:eastAsia="黑体" w:cs="黑体"/>
          <w:sz w:val="21"/>
          <w:szCs w:val="21"/>
        </w:rPr>
      </w:pPr>
    </w:p>
    <w:sectPr>
      <w:footerReference r:id="rId8" w:type="default"/>
      <w:pgSz w:w="11907" w:h="16839"/>
      <w:pgMar w:top="1405" w:right="1130" w:bottom="1309" w:left="1785" w:header="0" w:footer="11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90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eastAsia="宋体" w:cs="宋体"/>
        <w:spacing w:val="-4"/>
        <w:position w:val="-2"/>
        <w:sz w:val="18"/>
        <w:szCs w:val="18"/>
      </w:rPr>
      <w:t>III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8590"/>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IwODc1MDg3NjM5MjJhNzQ5NjJkZTExZGJhNzBmM2EifQ=="/>
  </w:docVars>
  <w:rsids>
    <w:rsidRoot w:val="00000000"/>
    <w:rsid w:val="03506A00"/>
    <w:rsid w:val="0DF76133"/>
    <w:rsid w:val="1544665B"/>
    <w:rsid w:val="289F226A"/>
    <w:rsid w:val="2B3445D0"/>
    <w:rsid w:val="3067227C"/>
    <w:rsid w:val="31B645E3"/>
    <w:rsid w:val="39842205"/>
    <w:rsid w:val="3D212F66"/>
    <w:rsid w:val="412C6825"/>
    <w:rsid w:val="43B141B4"/>
    <w:rsid w:val="492152F7"/>
    <w:rsid w:val="4B573A7D"/>
    <w:rsid w:val="5A39106A"/>
    <w:rsid w:val="653E611B"/>
    <w:rsid w:val="65456583"/>
    <w:rsid w:val="677E0B32"/>
    <w:rsid w:val="67AF64D3"/>
    <w:rsid w:val="6C5531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WPSOffice手动目录 1"/>
    <w:qFormat/>
    <w:uiPriority w:val="0"/>
    <w:pPr>
      <w:ind w:leftChars="0"/>
    </w:pPr>
    <w:rPr>
      <w:rFonts w:ascii="Arial" w:hAnsi="Arial" w:eastAsia="Arial" w:cs="Arial"/>
      <w:sz w:val="20"/>
      <w:szCs w:val="20"/>
    </w:rPr>
  </w:style>
  <w:style w:type="paragraph" w:customStyle="1" w:styleId="11">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14179</Words>
  <Characters>15796</Characters>
  <TotalTime>2</TotalTime>
  <ScaleCrop>false</ScaleCrop>
  <LinksUpToDate>false</LinksUpToDate>
  <CharactersWithSpaces>16474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2021-03-16T15:56:00Z</dcterms:created>
  <dc:creator>DELL</dc:creator>
  <cp:lastModifiedBy>孔豆</cp:lastModifiedBy>
  <cp:lastPrinted>2022-08-09T09:02:00Z</cp:lastPrinted>
  <dcterms:modified xsi:type="dcterms:W3CDTF">2022-08-16T03:19:17Z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2022-03-09T16:38:48Z</vt:filetime>
  </property>
  <property fmtid="{D5CDD505-2E9C-101B-9397-08002B2CF9AE}" pid="4" name="KSOProductBuildVer">
    <vt:lpwstr>2052-11.1.0.12302</vt:lpwstr>
  </property>
  <property fmtid="{D5CDD505-2E9C-101B-9397-08002B2CF9AE}" pid="5" name="ICV">
    <vt:lpwstr>1B2D62C29CCB4AB9B304CA832EB2CF70</vt:lpwstr>
  </property>
</Properties>
</file>